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rPr>
          <w:rFonts w:ascii="仿宋_GB2312" w:eastAsia="仿宋_GB2312"/>
          <w:sz w:val="36"/>
          <w:szCs w:val="30"/>
        </w:rPr>
      </w:pPr>
      <w:r>
        <w:rPr>
          <w:rFonts w:hint="eastAsia" w:ascii="仿宋_GB2312" w:hAnsi="黑体" w:eastAsia="仿宋_GB2312"/>
          <w:b/>
          <w:sz w:val="32"/>
          <w:szCs w:val="30"/>
        </w:rPr>
        <w:t>附件2</w:t>
      </w:r>
    </w:p>
    <w:p>
      <w:pPr>
        <w:adjustRightInd w:val="0"/>
        <w:snapToGrid w:val="0"/>
        <w:spacing w:after="156" w:afterLines="50" w:line="500" w:lineRule="exact"/>
        <w:jc w:val="center"/>
        <w:rPr>
          <w:rFonts w:eastAsia="方正小标宋简体"/>
          <w:sz w:val="36"/>
          <w:szCs w:val="30"/>
        </w:rPr>
      </w:pPr>
      <w:r>
        <w:rPr>
          <w:rFonts w:hint="eastAsia" w:eastAsia="方正小标宋简体"/>
          <w:sz w:val="36"/>
          <w:szCs w:val="30"/>
        </w:rPr>
        <w:t>浙江省</w:t>
      </w:r>
      <w:r>
        <w:rPr>
          <w:rFonts w:eastAsia="方正小标宋简体"/>
          <w:sz w:val="36"/>
          <w:szCs w:val="30"/>
        </w:rPr>
        <w:t>高</w:t>
      </w:r>
      <w:r>
        <w:rPr>
          <w:rFonts w:hint="eastAsia" w:eastAsia="方正小标宋简体"/>
          <w:sz w:val="36"/>
          <w:szCs w:val="30"/>
        </w:rPr>
        <w:t>等</w:t>
      </w:r>
      <w:r>
        <w:rPr>
          <w:rFonts w:eastAsia="方正小标宋简体"/>
          <w:sz w:val="36"/>
          <w:szCs w:val="30"/>
        </w:rPr>
        <w:t>学校实验室安全检查项目</w:t>
      </w:r>
      <w:r>
        <w:rPr>
          <w:rFonts w:hint="eastAsia" w:eastAsia="方正小标宋简体"/>
          <w:sz w:val="36"/>
          <w:szCs w:val="30"/>
        </w:rPr>
        <w:t>表（2020）</w:t>
      </w:r>
    </w:p>
    <w:tbl>
      <w:tblPr>
        <w:tblStyle w:val="18"/>
        <w:tblW w:w="14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5810"/>
        <w:gridCol w:w="3260"/>
        <w:gridCol w:w="599"/>
        <w:gridCol w:w="853"/>
        <w:gridCol w:w="882"/>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848" w:type="dxa"/>
            <w:vMerge w:val="restart"/>
            <w:shd w:val="clear" w:color="auto" w:fill="auto"/>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序号</w:t>
            </w:r>
          </w:p>
        </w:tc>
        <w:tc>
          <w:tcPr>
            <w:tcW w:w="5810" w:type="dxa"/>
            <w:vMerge w:val="restart"/>
            <w:shd w:val="clear" w:color="auto" w:fill="auto"/>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检查项目</w:t>
            </w:r>
          </w:p>
        </w:tc>
        <w:tc>
          <w:tcPr>
            <w:tcW w:w="3260" w:type="dxa"/>
            <w:vMerge w:val="restart"/>
            <w:shd w:val="clear" w:color="auto" w:fill="auto"/>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检查</w:t>
            </w:r>
            <w:r>
              <w:rPr>
                <w:rFonts w:eastAsia="黑体"/>
                <w:b/>
                <w:bCs/>
                <w:kern w:val="0"/>
                <w:szCs w:val="21"/>
              </w:rPr>
              <w:t>要点</w:t>
            </w:r>
          </w:p>
        </w:tc>
        <w:tc>
          <w:tcPr>
            <w:tcW w:w="4454" w:type="dxa"/>
            <w:gridSpan w:val="4"/>
            <w:shd w:val="clear" w:color="auto" w:fill="auto"/>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848" w:type="dxa"/>
            <w:vMerge w:val="continue"/>
            <w:shd w:val="clear" w:color="auto" w:fill="auto"/>
            <w:tcMar>
              <w:left w:w="45" w:type="dxa"/>
              <w:right w:w="45" w:type="dxa"/>
            </w:tcMar>
            <w:vAlign w:val="center"/>
          </w:tcPr>
          <w:p>
            <w:pPr>
              <w:spacing w:line="300" w:lineRule="exact"/>
              <w:jc w:val="left"/>
              <w:rPr>
                <w:rFonts w:eastAsia="黑体"/>
                <w:b/>
                <w:bCs/>
                <w:kern w:val="0"/>
                <w:szCs w:val="21"/>
              </w:rPr>
            </w:pPr>
          </w:p>
        </w:tc>
        <w:tc>
          <w:tcPr>
            <w:tcW w:w="5810" w:type="dxa"/>
            <w:vMerge w:val="continue"/>
            <w:shd w:val="clear" w:color="auto" w:fill="auto"/>
            <w:tcMar>
              <w:left w:w="45" w:type="dxa"/>
              <w:right w:w="45" w:type="dxa"/>
            </w:tcMar>
            <w:vAlign w:val="center"/>
          </w:tcPr>
          <w:p>
            <w:pPr>
              <w:spacing w:line="300" w:lineRule="exact"/>
              <w:jc w:val="center"/>
              <w:rPr>
                <w:rFonts w:eastAsia="黑体"/>
                <w:b/>
                <w:bCs/>
                <w:kern w:val="0"/>
                <w:szCs w:val="21"/>
              </w:rPr>
            </w:pPr>
          </w:p>
        </w:tc>
        <w:tc>
          <w:tcPr>
            <w:tcW w:w="3260" w:type="dxa"/>
            <w:vMerge w:val="continue"/>
            <w:shd w:val="clear" w:color="auto" w:fill="auto"/>
            <w:tcMar>
              <w:left w:w="45" w:type="dxa"/>
              <w:right w:w="45" w:type="dxa"/>
            </w:tcMar>
            <w:vAlign w:val="center"/>
          </w:tcPr>
          <w:p>
            <w:pPr>
              <w:spacing w:line="300" w:lineRule="exact"/>
              <w:jc w:val="center"/>
              <w:rPr>
                <w:rFonts w:eastAsia="黑体"/>
                <w:b/>
                <w:bCs/>
                <w:kern w:val="0"/>
                <w:szCs w:val="21"/>
              </w:rPr>
            </w:pPr>
          </w:p>
        </w:tc>
        <w:tc>
          <w:tcPr>
            <w:tcW w:w="599" w:type="dxa"/>
            <w:shd w:val="clear" w:color="auto" w:fill="auto"/>
            <w:tcMar>
              <w:top w:w="28" w:type="dxa"/>
              <w:left w:w="45" w:type="dxa"/>
              <w:bottom w:w="28" w:type="dxa"/>
              <w:right w:w="45" w:type="dxa"/>
            </w:tcMar>
            <w:vAlign w:val="center"/>
          </w:tcPr>
          <w:p>
            <w:pPr>
              <w:spacing w:line="240" w:lineRule="exact"/>
              <w:jc w:val="center"/>
              <w:rPr>
                <w:rFonts w:eastAsia="黑体"/>
                <w:b/>
                <w:bCs/>
                <w:kern w:val="0"/>
                <w:szCs w:val="21"/>
              </w:rPr>
            </w:pPr>
            <w:r>
              <w:rPr>
                <w:rFonts w:hint="eastAsia" w:eastAsia="黑体"/>
                <w:b/>
                <w:bCs/>
                <w:kern w:val="0"/>
                <w:szCs w:val="21"/>
              </w:rPr>
              <w:t>符合</w:t>
            </w:r>
          </w:p>
        </w:tc>
        <w:tc>
          <w:tcPr>
            <w:tcW w:w="853" w:type="dxa"/>
            <w:tcMar>
              <w:top w:w="28" w:type="dxa"/>
              <w:bottom w:w="28" w:type="dxa"/>
            </w:tcMar>
            <w:vAlign w:val="center"/>
          </w:tcPr>
          <w:p>
            <w:pPr>
              <w:spacing w:line="240" w:lineRule="exact"/>
              <w:jc w:val="center"/>
              <w:rPr>
                <w:rFonts w:eastAsia="黑体"/>
                <w:b/>
                <w:bCs/>
                <w:kern w:val="0"/>
                <w:szCs w:val="21"/>
              </w:rPr>
            </w:pPr>
            <w:r>
              <w:rPr>
                <w:rFonts w:hint="eastAsia" w:eastAsia="黑体"/>
                <w:b/>
                <w:bCs/>
                <w:kern w:val="0"/>
                <w:szCs w:val="21"/>
              </w:rPr>
              <w:t>不符合</w:t>
            </w:r>
          </w:p>
        </w:tc>
        <w:tc>
          <w:tcPr>
            <w:tcW w:w="882" w:type="dxa"/>
            <w:tcMar>
              <w:top w:w="28" w:type="dxa"/>
              <w:bottom w:w="28" w:type="dxa"/>
            </w:tcMar>
            <w:vAlign w:val="center"/>
          </w:tcPr>
          <w:p>
            <w:pPr>
              <w:spacing w:line="240" w:lineRule="exact"/>
              <w:jc w:val="center"/>
              <w:rPr>
                <w:rFonts w:eastAsia="黑体"/>
                <w:b/>
                <w:bCs/>
                <w:kern w:val="0"/>
                <w:szCs w:val="21"/>
              </w:rPr>
            </w:pPr>
            <w:r>
              <w:rPr>
                <w:rFonts w:hint="eastAsia" w:eastAsia="黑体"/>
                <w:b/>
                <w:bCs/>
                <w:kern w:val="0"/>
                <w:szCs w:val="21"/>
              </w:rPr>
              <w:t>不适用</w:t>
            </w:r>
          </w:p>
        </w:tc>
        <w:tc>
          <w:tcPr>
            <w:tcW w:w="2120" w:type="dxa"/>
            <w:vAlign w:val="center"/>
          </w:tcPr>
          <w:p>
            <w:pPr>
              <w:spacing w:line="300" w:lineRule="exact"/>
              <w:jc w:val="center"/>
              <w:rPr>
                <w:rFonts w:eastAsia="黑体"/>
                <w:b/>
                <w:bCs/>
                <w:kern w:val="0"/>
                <w:szCs w:val="21"/>
              </w:rPr>
            </w:pPr>
            <w:r>
              <w:rPr>
                <w:rFonts w:hint="eastAsia"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w:t>
            </w:r>
          </w:p>
        </w:tc>
        <w:tc>
          <w:tcPr>
            <w:tcW w:w="13524" w:type="dxa"/>
            <w:gridSpan w:val="6"/>
            <w:shd w:val="clear" w:color="auto" w:fill="auto"/>
            <w:tcMar>
              <w:left w:w="45" w:type="dxa"/>
              <w:right w:w="45" w:type="dxa"/>
            </w:tcMar>
            <w:vAlign w:val="center"/>
          </w:tcPr>
          <w:p>
            <w:pPr>
              <w:widowControl/>
              <w:spacing w:line="300" w:lineRule="exact"/>
              <w:rPr>
                <w:b/>
                <w:kern w:val="0"/>
                <w:szCs w:val="21"/>
              </w:rPr>
            </w:pPr>
            <w:r>
              <w:rPr>
                <w:b/>
                <w:kern w:val="0"/>
                <w:szCs w:val="21"/>
              </w:rPr>
              <w:t>组织体系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1.2</w:t>
            </w:r>
          </w:p>
        </w:tc>
        <w:tc>
          <w:tcPr>
            <w:tcW w:w="13524" w:type="dxa"/>
            <w:gridSpan w:val="6"/>
            <w:shd w:val="clear" w:color="auto" w:fill="auto"/>
            <w:tcMar>
              <w:left w:w="45" w:type="dxa"/>
              <w:right w:w="45" w:type="dxa"/>
            </w:tcMar>
            <w:vAlign w:val="center"/>
          </w:tcPr>
          <w:p>
            <w:pPr>
              <w:widowControl/>
              <w:spacing w:line="300" w:lineRule="exact"/>
              <w:rPr>
                <w:b/>
                <w:kern w:val="0"/>
                <w:szCs w:val="21"/>
              </w:rPr>
            </w:pPr>
            <w:r>
              <w:rPr>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bCs/>
                <w:kern w:val="0"/>
                <w:szCs w:val="21"/>
              </w:rPr>
            </w:pPr>
            <w:r>
              <w:rPr>
                <w:rFonts w:eastAsia="黑体"/>
                <w:b/>
                <w:bCs/>
                <w:kern w:val="0"/>
                <w:szCs w:val="21"/>
              </w:rPr>
              <w:t>1.3</w:t>
            </w:r>
          </w:p>
        </w:tc>
        <w:tc>
          <w:tcPr>
            <w:tcW w:w="13524" w:type="dxa"/>
            <w:gridSpan w:val="6"/>
            <w:shd w:val="clear" w:color="auto" w:fill="auto"/>
            <w:tcMar>
              <w:left w:w="45" w:type="dxa"/>
              <w:right w:w="45" w:type="dxa"/>
            </w:tcMar>
            <w:vAlign w:val="center"/>
          </w:tcPr>
          <w:p>
            <w:pPr>
              <w:widowControl/>
              <w:spacing w:line="300" w:lineRule="exact"/>
              <w:rPr>
                <w:b/>
                <w:bCs/>
                <w:kern w:val="0"/>
                <w:szCs w:val="21"/>
              </w:rPr>
            </w:pPr>
            <w:r>
              <w:rPr>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1.3.3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院系、</w:t>
            </w:r>
            <w:r>
              <w:rPr>
                <w:rFonts w:hint="eastAsia"/>
                <w:kern w:val="0"/>
                <w:szCs w:val="21"/>
                <w:highlight w:val="yellow"/>
              </w:rPr>
              <w:t>课题组</w:t>
            </w:r>
            <w:r>
              <w:rPr>
                <w:kern w:val="0"/>
                <w:szCs w:val="21"/>
                <w:highlight w:val="yellow"/>
              </w:rPr>
              <w:t>等</w:t>
            </w:r>
            <w:r>
              <w:rPr>
                <w:rFonts w:hint="eastAsia"/>
                <w:kern w:val="0"/>
                <w:szCs w:val="21"/>
                <w:highlight w:val="yellow"/>
              </w:rPr>
              <w:t>有</w:t>
            </w:r>
            <w:r>
              <w:rPr>
                <w:kern w:val="0"/>
                <w:szCs w:val="21"/>
                <w:highlight w:val="yellow"/>
              </w:rPr>
              <w:t>自筹经费投入实验室安全建设与管理</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highlight w:val="yellow"/>
              </w:rPr>
              <w:t>有</w:t>
            </w:r>
            <w:r>
              <w:rPr>
                <w:kern w:val="0"/>
                <w:szCs w:val="21"/>
                <w:highlight w:val="yellow"/>
              </w:rPr>
              <w:t>证据</w:t>
            </w:r>
          </w:p>
        </w:tc>
        <w:tc>
          <w:tcPr>
            <w:tcW w:w="599" w:type="dxa"/>
            <w:tcMar>
              <w:left w:w="45" w:type="dxa"/>
              <w:right w:w="45" w:type="dxa"/>
            </w:tcMar>
            <w:vAlign w:val="center"/>
          </w:tcPr>
          <w:p>
            <w:pPr>
              <w:widowControl/>
              <w:spacing w:line="300" w:lineRule="exact"/>
              <w:jc w:val="center"/>
              <w:rPr>
                <w:rFonts w:hint="eastAsia" w:eastAsia="宋体"/>
                <w:kern w:val="0"/>
                <w:szCs w:val="21"/>
                <w:lang w:eastAsia="zh-CN"/>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1.4</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2</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2.2</w:t>
            </w:r>
          </w:p>
        </w:tc>
        <w:tc>
          <w:tcPr>
            <w:tcW w:w="13524" w:type="dxa"/>
            <w:gridSpan w:val="6"/>
            <w:shd w:val="clear" w:color="auto" w:fill="auto"/>
            <w:tcMar>
              <w:left w:w="45" w:type="dxa"/>
              <w:right w:w="45" w:type="dxa"/>
            </w:tcMar>
            <w:vAlign w:val="center"/>
          </w:tcPr>
          <w:p>
            <w:pPr>
              <w:widowControl/>
              <w:spacing w:line="300" w:lineRule="exact"/>
              <w:rPr>
                <w:b/>
                <w:kern w:val="0"/>
                <w:szCs w:val="21"/>
              </w:rPr>
            </w:pPr>
            <w:r>
              <w:rPr>
                <w:b/>
                <w:kern w:val="0"/>
                <w:szCs w:val="21"/>
              </w:rPr>
              <w:t>院系层面的安全管理制度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2.2.2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有安全检查与值班值日制度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highlight w:val="yellow"/>
              </w:rPr>
              <w:t>查</w:t>
            </w:r>
            <w:r>
              <w:rPr>
                <w:bCs/>
                <w:kern w:val="0"/>
                <w:szCs w:val="21"/>
                <w:highlight w:val="yellow"/>
              </w:rPr>
              <w:t>安全检查记录本、每个实验室房间的值日表</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default" w:eastAsia="宋体"/>
                <w:bCs/>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2.2.3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涉及安全隐患的设备（如</w:t>
            </w:r>
            <w:r>
              <w:rPr>
                <w:kern w:val="0"/>
                <w:szCs w:val="21"/>
              </w:rPr>
              <w:t>大型仪器</w:t>
            </w:r>
            <w:r>
              <w:rPr>
                <w:rFonts w:hint="eastAsia"/>
                <w:kern w:val="0"/>
                <w:szCs w:val="21"/>
              </w:rPr>
              <w:t>、</w:t>
            </w:r>
            <w:r>
              <w:rPr>
                <w:kern w:val="0"/>
                <w:szCs w:val="21"/>
              </w:rPr>
              <w:t>高温、高速、高压、强磁、低温等设备</w:t>
            </w:r>
            <w:r>
              <w:rPr>
                <w:rFonts w:hint="eastAsia"/>
                <w:kern w:val="0"/>
                <w:szCs w:val="21"/>
              </w:rPr>
              <w:t>）有</w:t>
            </w:r>
            <w:r>
              <w:rPr>
                <w:kern w:val="0"/>
                <w:szCs w:val="21"/>
              </w:rPr>
              <w:t>安全操作规程，并</w:t>
            </w:r>
            <w:r>
              <w:rPr>
                <w:rFonts w:hint="eastAsia"/>
                <w:kern w:val="0"/>
                <w:szCs w:val="21"/>
              </w:rPr>
              <w:t>明示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包括</w:t>
            </w:r>
            <w:r>
              <w:rPr>
                <w:rFonts w:hint="eastAsia"/>
                <w:bCs/>
                <w:kern w:val="0"/>
                <w:szCs w:val="21"/>
              </w:rPr>
              <w:t>操作</w:t>
            </w:r>
            <w:r>
              <w:rPr>
                <w:bCs/>
                <w:kern w:val="0"/>
                <w:szCs w:val="21"/>
              </w:rPr>
              <w:t>步骤与安全注意事项</w:t>
            </w:r>
            <w:r>
              <w:rPr>
                <w:rFonts w:hint="eastAsia"/>
                <w:bCs/>
                <w:kern w:val="0"/>
                <w:szCs w:val="21"/>
              </w:rPr>
              <w:t>；张贴</w:t>
            </w:r>
            <w:r>
              <w:rPr>
                <w:bCs/>
                <w:kern w:val="0"/>
                <w:szCs w:val="21"/>
              </w:rPr>
              <w:t>位置正确</w:t>
            </w:r>
            <w:r>
              <w:rPr>
                <w:rFonts w:hint="eastAsia"/>
                <w:bCs/>
                <w:kern w:val="0"/>
                <w:szCs w:val="21"/>
              </w:rPr>
              <w:t>；</w:t>
            </w:r>
            <w:r>
              <w:rPr>
                <w:bCs/>
                <w:kern w:val="0"/>
                <w:szCs w:val="21"/>
              </w:rPr>
              <w:t>门口</w:t>
            </w:r>
            <w:r>
              <w:rPr>
                <w:rFonts w:hint="eastAsia"/>
                <w:bCs/>
                <w:kern w:val="0"/>
                <w:szCs w:val="21"/>
              </w:rPr>
              <w:t>有</w:t>
            </w:r>
            <w:r>
              <w:rPr>
                <w:bCs/>
                <w:kern w:val="0"/>
                <w:szCs w:val="21"/>
              </w:rPr>
              <w:t>明显标识</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2.2.4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危险性实验</w:t>
            </w:r>
            <w:r>
              <w:rPr>
                <w:rFonts w:hint="eastAsia"/>
                <w:kern w:val="0"/>
                <w:szCs w:val="21"/>
              </w:rPr>
              <w:t>、</w:t>
            </w:r>
            <w:r>
              <w:rPr>
                <w:kern w:val="0"/>
                <w:szCs w:val="21"/>
              </w:rPr>
              <w:t>工艺有</w:t>
            </w:r>
            <w:r>
              <w:rPr>
                <w:rFonts w:hint="eastAsia"/>
                <w:kern w:val="0"/>
                <w:szCs w:val="21"/>
              </w:rPr>
              <w:t>实验</w:t>
            </w:r>
            <w:r>
              <w:rPr>
                <w:kern w:val="0"/>
                <w:szCs w:val="21"/>
              </w:rPr>
              <w:t>指导书或操作规程（含安全注意事项），并</w:t>
            </w:r>
            <w:r>
              <w:rPr>
                <w:rFonts w:hint="eastAsia"/>
                <w:kern w:val="0"/>
                <w:szCs w:val="21"/>
              </w:rPr>
              <w:t>明示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门口</w:t>
            </w:r>
            <w:r>
              <w:rPr>
                <w:rFonts w:hint="eastAsia"/>
                <w:bCs/>
                <w:kern w:val="0"/>
                <w:szCs w:val="21"/>
              </w:rPr>
              <w:t>信息牌</w:t>
            </w:r>
            <w:r>
              <w:rPr>
                <w:bCs/>
                <w:kern w:val="0"/>
                <w:szCs w:val="21"/>
              </w:rPr>
              <w:t>有标识</w:t>
            </w:r>
            <w:r>
              <w:rPr>
                <w:rFonts w:hint="eastAsia"/>
                <w:bCs/>
                <w:kern w:val="0"/>
                <w:szCs w:val="21"/>
              </w:rPr>
              <w:t>；查看资料</w:t>
            </w:r>
            <w:r>
              <w:rPr>
                <w:bCs/>
                <w:kern w:val="0"/>
                <w:szCs w:val="21"/>
              </w:rPr>
              <w:t>、实验记录、</w:t>
            </w:r>
            <w:r>
              <w:rPr>
                <w:rFonts w:hint="eastAsia"/>
                <w:bCs/>
                <w:kern w:val="0"/>
                <w:szCs w:val="21"/>
              </w:rPr>
              <w:t>询问</w:t>
            </w:r>
            <w:r>
              <w:rPr>
                <w:bCs/>
                <w:kern w:val="0"/>
                <w:szCs w:val="21"/>
              </w:rPr>
              <w:t>学生</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2.2.5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建立</w:t>
            </w:r>
            <w:r>
              <w:rPr>
                <w:kern w:val="0"/>
                <w:szCs w:val="21"/>
              </w:rPr>
              <w:t>了危险性实验</w:t>
            </w:r>
            <w:r>
              <w:rPr>
                <w:rFonts w:hint="eastAsia"/>
                <w:kern w:val="0"/>
                <w:szCs w:val="21"/>
              </w:rPr>
              <w:t>风险</w:t>
            </w:r>
            <w:r>
              <w:rPr>
                <w:kern w:val="0"/>
                <w:szCs w:val="21"/>
              </w:rPr>
              <w:t>评估与准入</w:t>
            </w:r>
            <w:r>
              <w:rPr>
                <w:rFonts w:hint="eastAsia"/>
                <w:kern w:val="0"/>
                <w:szCs w:val="21"/>
              </w:rPr>
              <w:t>机制</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查看开题报告、新开设教学实验审批资料</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2.2.6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有体现学科特色的应急预案</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针对</w:t>
            </w:r>
            <w:r>
              <w:rPr>
                <w:bCs/>
                <w:kern w:val="0"/>
                <w:szCs w:val="21"/>
              </w:rPr>
              <w:t>本实验室的危险隐患</w:t>
            </w:r>
            <w:r>
              <w:rPr>
                <w:rFonts w:hint="eastAsia"/>
                <w:bCs/>
                <w:kern w:val="0"/>
                <w:szCs w:val="21"/>
              </w:rPr>
              <w:t>，有应急预案</w:t>
            </w:r>
            <w:r>
              <w:rPr>
                <w:bCs/>
                <w:kern w:val="0"/>
                <w:szCs w:val="21"/>
              </w:rPr>
              <w:t>或</w:t>
            </w:r>
            <w:r>
              <w:rPr>
                <w:rFonts w:hint="eastAsia"/>
                <w:bCs/>
                <w:kern w:val="0"/>
                <w:szCs w:val="21"/>
              </w:rPr>
              <w:t>风险</w:t>
            </w:r>
            <w:r>
              <w:rPr>
                <w:bCs/>
                <w:kern w:val="0"/>
                <w:szCs w:val="21"/>
              </w:rPr>
              <w:t>防控方案</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4</w:t>
            </w:r>
          </w:p>
        </w:tc>
        <w:tc>
          <w:tcPr>
            <w:tcW w:w="13524"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4.1</w:t>
            </w:r>
          </w:p>
        </w:tc>
        <w:tc>
          <w:tcPr>
            <w:tcW w:w="13524"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4.1.2</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对于涉及危险源</w:t>
            </w:r>
            <w:r>
              <w:rPr>
                <w:bCs/>
                <w:kern w:val="0"/>
                <w:szCs w:val="21"/>
              </w:rPr>
              <w:t>的实验场所，有明确的</w:t>
            </w:r>
            <w:r>
              <w:rPr>
                <w:rFonts w:hint="eastAsia"/>
                <w:bCs/>
                <w:kern w:val="0"/>
                <w:szCs w:val="21"/>
              </w:rPr>
              <w:t>警示</w:t>
            </w:r>
            <w:r>
              <w:rPr>
                <w:bCs/>
                <w:kern w:val="0"/>
                <w:szCs w:val="21"/>
              </w:rPr>
              <w:t>标识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4.1.3</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涉及</w:t>
            </w:r>
            <w:r>
              <w:rPr>
                <w:rFonts w:hint="eastAsia"/>
                <w:bCs/>
                <w:kern w:val="0"/>
                <w:szCs w:val="21"/>
              </w:rPr>
              <w:t>剧毒品、</w:t>
            </w:r>
            <w:r>
              <w:rPr>
                <w:bCs/>
                <w:kern w:val="0"/>
                <w:szCs w:val="21"/>
              </w:rPr>
              <w:t>病原微生物、</w:t>
            </w:r>
            <w:r>
              <w:rPr>
                <w:rFonts w:hint="eastAsia"/>
                <w:bCs/>
                <w:color w:val="0000FF"/>
                <w:kern w:val="0"/>
                <w:szCs w:val="21"/>
              </w:rPr>
              <w:t>放射性同位素</w:t>
            </w:r>
            <w:r>
              <w:rPr>
                <w:rFonts w:hint="eastAsia"/>
                <w:bCs/>
                <w:kern w:val="0"/>
                <w:szCs w:val="21"/>
              </w:rPr>
              <w:t>、</w:t>
            </w:r>
            <w:r>
              <w:rPr>
                <w:bCs/>
                <w:kern w:val="0"/>
                <w:szCs w:val="21"/>
              </w:rPr>
              <w:t>强磁</w:t>
            </w:r>
            <w:r>
              <w:rPr>
                <w:rFonts w:hint="eastAsia"/>
                <w:bCs/>
                <w:kern w:val="0"/>
                <w:szCs w:val="21"/>
              </w:rPr>
              <w:t>等</w:t>
            </w:r>
            <w:r>
              <w:rPr>
                <w:bCs/>
                <w:kern w:val="0"/>
                <w:szCs w:val="21"/>
              </w:rPr>
              <w:t>高危场所</w:t>
            </w:r>
            <w:r>
              <w:rPr>
                <w:rFonts w:hint="eastAsia"/>
                <w:bCs/>
                <w:kern w:val="0"/>
                <w:szCs w:val="21"/>
              </w:rPr>
              <w:t>，具备符合</w:t>
            </w:r>
            <w:r>
              <w:rPr>
                <w:bCs/>
                <w:kern w:val="0"/>
                <w:szCs w:val="21"/>
              </w:rPr>
              <w:t>要求的软硬件设施</w:t>
            </w:r>
            <w:r>
              <w:rPr>
                <w:rFonts w:hint="eastAsia"/>
                <w:bCs/>
                <w:kern w:val="0"/>
                <w:szCs w:val="21"/>
              </w:rPr>
              <w:t>，</w:t>
            </w:r>
            <w:r>
              <w:rPr>
                <w:bCs/>
                <w:kern w:val="0"/>
                <w:szCs w:val="21"/>
              </w:rPr>
              <w:t>并有明显</w:t>
            </w:r>
            <w:r>
              <w:rPr>
                <w:rFonts w:hint="eastAsia"/>
                <w:bCs/>
                <w:kern w:val="0"/>
                <w:szCs w:val="21"/>
              </w:rPr>
              <w:t>的</w:t>
            </w:r>
            <w:r>
              <w:rPr>
                <w:bCs/>
                <w:kern w:val="0"/>
                <w:szCs w:val="21"/>
              </w:rPr>
              <w:t>警示标识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rFonts w:hint="eastAsia" w:eastAsia="宋体"/>
                <w:bCs/>
                <w:kern w:val="0"/>
                <w:szCs w:val="21"/>
                <w:lang w:val="en-US" w:eastAsia="zh-CN"/>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4.1.4</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实验室有针对本</w:t>
            </w:r>
            <w:r>
              <w:rPr>
                <w:bCs/>
                <w:kern w:val="0"/>
                <w:szCs w:val="21"/>
              </w:rPr>
              <w:t>室重要危险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r>
              <w:rPr>
                <w:rFonts w:hint="eastAsia"/>
                <w:bCs/>
                <w:kern w:val="0"/>
                <w:szCs w:val="21"/>
              </w:rPr>
              <w:t>，并报</w:t>
            </w:r>
            <w:r>
              <w:rPr>
                <w:bCs/>
                <w:kern w:val="0"/>
                <w:szCs w:val="21"/>
              </w:rPr>
              <w:t>院系备案</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rFonts w:hint="eastAsia" w:eastAsia="宋体"/>
                <w:bCs/>
                <w:kern w:val="0"/>
                <w:szCs w:val="21"/>
                <w:lang w:val="en-US" w:eastAsia="zh-CN"/>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4.2</w:t>
            </w:r>
          </w:p>
        </w:tc>
        <w:tc>
          <w:tcPr>
            <w:tcW w:w="13524"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4.2.4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房间有值日台账，</w:t>
            </w:r>
            <w:r>
              <w:rPr>
                <w:kern w:val="0"/>
                <w:szCs w:val="21"/>
              </w:rPr>
              <w:t>每天</w:t>
            </w:r>
            <w:r>
              <w:rPr>
                <w:rFonts w:hint="eastAsia"/>
                <w:kern w:val="0"/>
                <w:szCs w:val="21"/>
              </w:rPr>
              <w:t>最后离开的人</w:t>
            </w:r>
            <w:r>
              <w:rPr>
                <w:bCs/>
                <w:kern w:val="0"/>
                <w:szCs w:val="21"/>
              </w:rPr>
              <w:t>检查水电气门窗等，并签字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查看记录</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default" w:eastAsia="宋体"/>
                <w:bCs/>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4.3</w:t>
            </w:r>
          </w:p>
        </w:tc>
        <w:tc>
          <w:tcPr>
            <w:tcW w:w="13524"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4.3.3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如有重大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实验记录</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5</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5.1</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场所</w:t>
            </w:r>
            <w:r>
              <w:rPr>
                <w:rFonts w:hint="eastAsia"/>
                <w:b/>
                <w:kern w:val="0"/>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5.1.1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超过</w:t>
            </w:r>
            <w:r>
              <w:rPr>
                <w:szCs w:val="21"/>
              </w:rPr>
              <w:t>200</w:t>
            </w:r>
            <w:r>
              <w:rPr>
                <w:rFonts w:hint="eastAsia"/>
                <w:szCs w:val="21"/>
              </w:rPr>
              <w:t>平方米的实验楼层应具有至少</w:t>
            </w:r>
            <w:r>
              <w:rPr>
                <w:rFonts w:hint="eastAsia"/>
                <w:color w:val="0000FF"/>
                <w:szCs w:val="21"/>
              </w:rPr>
              <w:t>两处紧急出口</w:t>
            </w:r>
            <w:r>
              <w:rPr>
                <w:rFonts w:hint="eastAsia"/>
                <w:szCs w:val="21"/>
              </w:rPr>
              <w:t>，</w:t>
            </w:r>
            <w:r>
              <w:rPr>
                <w:szCs w:val="21"/>
              </w:rPr>
              <w:t>75</w:t>
            </w:r>
            <w:r>
              <w:rPr>
                <w:rFonts w:hint="eastAsia"/>
                <w:szCs w:val="21"/>
              </w:rPr>
              <w:t>平方米以上实验室要有两扇门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室内外</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default" w:eastAsia="宋体"/>
                <w:bCs/>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5.1.2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有信息牌，信息完整，应急电话有效</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5.1.3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实验室应张贴针对安全风险点的警示标识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标识，应</w:t>
            </w:r>
            <w:r>
              <w:rPr>
                <w:rFonts w:hint="eastAsia"/>
                <w:bCs/>
                <w:kern w:val="0"/>
                <w:szCs w:val="21"/>
              </w:rPr>
              <w:t>当</w:t>
            </w:r>
            <w:r>
              <w:rPr>
                <w:bCs/>
                <w:kern w:val="0"/>
                <w:szCs w:val="21"/>
              </w:rPr>
              <w:t>清晰有效</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5.1.4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实验室消防通道通畅，公共场所、通道不堆放仪器、物品</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消防通道通畅</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szCs w:val="21"/>
              </w:rPr>
            </w:pPr>
            <w:r>
              <w:rPr>
                <w:rFonts w:eastAsia="黑体"/>
                <w:szCs w:val="21"/>
              </w:rPr>
              <w:t>5.1.5</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实验楼大走廊在特殊情况下允许单边放置冰箱等设备（需加</w:t>
            </w:r>
            <w:r>
              <w:rPr>
                <w:szCs w:val="21"/>
              </w:rPr>
              <w:t>锁</w:t>
            </w:r>
            <w:r>
              <w:rPr>
                <w:rFonts w:hint="eastAsia"/>
                <w:szCs w:val="21"/>
              </w:rPr>
              <w:t>），但必须保证留有大于2.0米净宽的消防通道，需</w:t>
            </w:r>
            <w:r>
              <w:rPr>
                <w:szCs w:val="21"/>
              </w:rPr>
              <w:t>向学校报</w:t>
            </w:r>
            <w:r>
              <w:rPr>
                <w:rFonts w:hint="eastAsia"/>
                <w:szCs w:val="21"/>
              </w:rPr>
              <w:t>批；不得放置加热、机械运动设备</w:t>
            </w:r>
          </w:p>
        </w:tc>
        <w:tc>
          <w:tcPr>
            <w:tcW w:w="3260" w:type="dxa"/>
            <w:shd w:val="clear" w:color="auto" w:fill="auto"/>
            <w:tcMar>
              <w:left w:w="45" w:type="dxa"/>
              <w:right w:w="45" w:type="dxa"/>
            </w:tcMar>
            <w:vAlign w:val="center"/>
          </w:tcPr>
          <w:p>
            <w:pPr>
              <w:widowControl/>
              <w:spacing w:line="300" w:lineRule="exact"/>
              <w:jc w:val="left"/>
              <w:rPr>
                <w:bCs/>
                <w:szCs w:val="21"/>
              </w:rPr>
            </w:pPr>
            <w:r>
              <w:rPr>
                <w:rFonts w:hint="eastAsia"/>
                <w:bCs/>
                <w:szCs w:val="21"/>
              </w:rPr>
              <w:t>查看</w:t>
            </w:r>
            <w:r>
              <w:rPr>
                <w:bCs/>
                <w:szCs w:val="21"/>
              </w:rPr>
              <w:t>现场</w:t>
            </w:r>
            <w:r>
              <w:rPr>
                <w:rFonts w:hint="eastAsia"/>
                <w:bCs/>
                <w:szCs w:val="21"/>
              </w:rPr>
              <w:t>、</w:t>
            </w:r>
            <w:r>
              <w:rPr>
                <w:bCs/>
                <w:szCs w:val="21"/>
              </w:rPr>
              <w:t>报</w:t>
            </w:r>
            <w:r>
              <w:rPr>
                <w:rFonts w:hint="eastAsia"/>
                <w:bCs/>
                <w:szCs w:val="21"/>
              </w:rPr>
              <w:t>批</w:t>
            </w:r>
            <w:r>
              <w:rPr>
                <w:bCs/>
                <w:szCs w:val="21"/>
              </w:rPr>
              <w:t>记录</w:t>
            </w:r>
          </w:p>
        </w:tc>
        <w:tc>
          <w:tcPr>
            <w:tcW w:w="599" w:type="dxa"/>
            <w:tcMar>
              <w:left w:w="45" w:type="dxa"/>
              <w:right w:w="45" w:type="dxa"/>
            </w:tcMar>
            <w:vAlign w:val="center"/>
          </w:tcPr>
          <w:p>
            <w:pPr>
              <w:widowControl/>
              <w:spacing w:line="300" w:lineRule="exact"/>
              <w:jc w:val="center"/>
              <w:rPr>
                <w:rFonts w:hint="eastAsia" w:eastAsia="宋体"/>
                <w:bCs/>
                <w:szCs w:val="21"/>
                <w:lang w:val="en-US" w:eastAsia="zh-CN"/>
              </w:rPr>
            </w:pPr>
          </w:p>
        </w:tc>
        <w:tc>
          <w:tcPr>
            <w:tcW w:w="853" w:type="dxa"/>
            <w:vAlign w:val="center"/>
          </w:tcPr>
          <w:p>
            <w:pPr>
              <w:widowControl/>
              <w:spacing w:line="300" w:lineRule="exact"/>
              <w:jc w:val="center"/>
              <w:rPr>
                <w:bCs/>
                <w:szCs w:val="21"/>
              </w:rPr>
            </w:pPr>
          </w:p>
        </w:tc>
        <w:tc>
          <w:tcPr>
            <w:tcW w:w="882" w:type="dxa"/>
            <w:vAlign w:val="center"/>
          </w:tcPr>
          <w:p>
            <w:pPr>
              <w:widowControl/>
              <w:spacing w:line="300" w:lineRule="exact"/>
              <w:jc w:val="center"/>
              <w:rPr>
                <w:rFonts w:hint="eastAsia" w:eastAsia="宋体"/>
                <w:bCs/>
                <w:szCs w:val="21"/>
                <w:lang w:val="en-US" w:eastAsia="zh-CN"/>
              </w:rPr>
            </w:pPr>
          </w:p>
        </w:tc>
        <w:tc>
          <w:tcPr>
            <w:tcW w:w="2120" w:type="dxa"/>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5.1.6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实验室门上有观察窗，外开门不阻挡逃生路径</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危险性</w:t>
            </w:r>
            <w:r>
              <w:rPr>
                <w:bCs/>
                <w:szCs w:val="21"/>
              </w:rPr>
              <w:t>实验室</w:t>
            </w:r>
            <w:r>
              <w:rPr>
                <w:rFonts w:hint="eastAsia"/>
                <w:bCs/>
                <w:szCs w:val="21"/>
              </w:rPr>
              <w:t>有观察窗，并且</w:t>
            </w:r>
            <w:r>
              <w:rPr>
                <w:bCs/>
                <w:szCs w:val="21"/>
              </w:rPr>
              <w:t>没有遮挡</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5.1.7</w:t>
            </w:r>
          </w:p>
        </w:tc>
        <w:tc>
          <w:tcPr>
            <w:tcW w:w="5810" w:type="dxa"/>
            <w:shd w:val="clear" w:color="auto" w:fill="auto"/>
            <w:tcMar>
              <w:left w:w="45" w:type="dxa"/>
              <w:right w:w="45" w:type="dxa"/>
            </w:tcMar>
            <w:vAlign w:val="center"/>
          </w:tcPr>
          <w:p>
            <w:pPr>
              <w:widowControl/>
              <w:spacing w:line="300" w:lineRule="exact"/>
              <w:rPr>
                <w:kern w:val="0"/>
                <w:szCs w:val="21"/>
              </w:rPr>
            </w:pPr>
            <w:r>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查看备用</w:t>
            </w:r>
            <w:r>
              <w:rPr>
                <w:bCs/>
                <w:kern w:val="0"/>
                <w:szCs w:val="21"/>
              </w:rPr>
              <w:t>钥匙存放点</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5.1.8</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实验室人均面积符合规定要求，其中理工农医类不小于2.5平方米/人，社科类不小于1.5平方米/人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观察实验台</w:t>
            </w:r>
            <w:r>
              <w:rPr>
                <w:bCs/>
                <w:szCs w:val="21"/>
              </w:rPr>
              <w:t>与总面积</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szCs w:val="21"/>
              </w:rPr>
            </w:pPr>
            <w:r>
              <w:rPr>
                <w:rFonts w:eastAsia="黑体"/>
                <w:szCs w:val="21"/>
              </w:rPr>
              <w:t>5.1.9</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实验室</w:t>
            </w:r>
            <w:r>
              <w:rPr>
                <w:szCs w:val="21"/>
              </w:rPr>
              <w:t>内</w:t>
            </w:r>
            <w:r>
              <w:rPr>
                <w:rFonts w:hint="eastAsia"/>
                <w:szCs w:val="21"/>
              </w:rPr>
              <w:t>不得</w:t>
            </w:r>
            <w:r>
              <w:rPr>
                <w:szCs w:val="21"/>
              </w:rPr>
              <w:t>随意搭建阁楼，操作区层高不低于</w:t>
            </w:r>
            <w:r>
              <w:rPr>
                <w:rFonts w:hint="eastAsia"/>
                <w:szCs w:val="21"/>
              </w:rPr>
              <w:t>2米</w:t>
            </w:r>
          </w:p>
        </w:tc>
        <w:tc>
          <w:tcPr>
            <w:tcW w:w="3260" w:type="dxa"/>
            <w:shd w:val="clear" w:color="auto" w:fill="auto"/>
            <w:tcMar>
              <w:left w:w="45" w:type="dxa"/>
              <w:right w:w="45" w:type="dxa"/>
            </w:tcMar>
            <w:vAlign w:val="center"/>
          </w:tcPr>
          <w:p>
            <w:pPr>
              <w:widowControl/>
              <w:spacing w:line="300" w:lineRule="exact"/>
              <w:jc w:val="left"/>
              <w:rPr>
                <w:bCs/>
                <w:szCs w:val="21"/>
              </w:rPr>
            </w:pPr>
            <w:r>
              <w:rPr>
                <w:rFonts w:hint="eastAsia"/>
                <w:bCs/>
                <w:szCs w:val="21"/>
              </w:rPr>
              <w:t>查看现场</w:t>
            </w:r>
          </w:p>
        </w:tc>
        <w:tc>
          <w:tcPr>
            <w:tcW w:w="599" w:type="dxa"/>
            <w:tcMar>
              <w:left w:w="45" w:type="dxa"/>
              <w:right w:w="45" w:type="dxa"/>
            </w:tcMar>
            <w:vAlign w:val="center"/>
          </w:tcPr>
          <w:p>
            <w:pPr>
              <w:widowControl/>
              <w:spacing w:line="300" w:lineRule="exact"/>
              <w:jc w:val="center"/>
              <w:rPr>
                <w:rFonts w:hint="eastAsia" w:eastAsia="宋体"/>
                <w:bCs/>
                <w:szCs w:val="21"/>
                <w:lang w:val="en-US" w:eastAsia="zh-CN"/>
              </w:rPr>
            </w:pPr>
          </w:p>
        </w:tc>
        <w:tc>
          <w:tcPr>
            <w:tcW w:w="853" w:type="dxa"/>
            <w:vAlign w:val="center"/>
          </w:tcPr>
          <w:p>
            <w:pPr>
              <w:widowControl/>
              <w:spacing w:line="300" w:lineRule="exact"/>
              <w:jc w:val="center"/>
              <w:rPr>
                <w:bCs/>
                <w:szCs w:val="21"/>
              </w:rPr>
            </w:pPr>
          </w:p>
        </w:tc>
        <w:tc>
          <w:tcPr>
            <w:tcW w:w="882" w:type="dxa"/>
            <w:vAlign w:val="center"/>
          </w:tcPr>
          <w:p>
            <w:pPr>
              <w:widowControl/>
              <w:spacing w:line="300" w:lineRule="exact"/>
              <w:jc w:val="center"/>
              <w:rPr>
                <w:bCs/>
                <w:szCs w:val="21"/>
              </w:rPr>
            </w:pPr>
          </w:p>
        </w:tc>
        <w:tc>
          <w:tcPr>
            <w:tcW w:w="2120" w:type="dxa"/>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5.1.10</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实验操作台应选用合格的防火、防腐材料</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实验台材料合格</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5.1.11</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关注</w:t>
            </w:r>
            <w:r>
              <w:rPr>
                <w:bCs/>
                <w:szCs w:val="21"/>
              </w:rPr>
              <w:t>大型</w:t>
            </w:r>
            <w:r>
              <w:rPr>
                <w:rFonts w:hint="eastAsia"/>
                <w:bCs/>
                <w:szCs w:val="21"/>
              </w:rPr>
              <w:t>质</w:t>
            </w:r>
            <w:r>
              <w:rPr>
                <w:bCs/>
                <w:szCs w:val="21"/>
              </w:rPr>
              <w:t>重的</w:t>
            </w:r>
            <w:r>
              <w:rPr>
                <w:rFonts w:hint="eastAsia"/>
                <w:bCs/>
                <w:szCs w:val="21"/>
              </w:rPr>
              <w:t>设备</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5.1.12</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容易产生振动的设备，需考虑振动源的屏蔽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有必要的振动屏蔽措施</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5.1.13</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易对外产生磁场或易受磁场干扰的设备，需做好磁屏蔽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有必要的磁屏蔽措施</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5.1.14</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照明良好，桌面光照度一般不小于150</w:t>
            </w:r>
            <w:r>
              <w:rPr>
                <w:szCs w:val="21"/>
              </w:rPr>
              <w:t xml:space="preserve"> </w:t>
            </w:r>
            <w:r>
              <w:rPr>
                <w:rFonts w:hint="eastAsia"/>
                <w:szCs w:val="21"/>
              </w:rPr>
              <w:t>LX</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照明良好</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5.1.15</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噪声一般低于55分贝（机械设备可低于70分贝）</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噪声达标</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szCs w:val="21"/>
              </w:rPr>
            </w:pPr>
            <w:r>
              <w:rPr>
                <w:rFonts w:eastAsia="黑体"/>
                <w:szCs w:val="21"/>
              </w:rPr>
              <w:t>5.1.16</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有可燃气体的实验室不能设吊顶</w:t>
            </w:r>
          </w:p>
        </w:tc>
        <w:tc>
          <w:tcPr>
            <w:tcW w:w="3260" w:type="dxa"/>
            <w:shd w:val="clear" w:color="auto" w:fill="auto"/>
            <w:tcMar>
              <w:left w:w="45" w:type="dxa"/>
              <w:right w:w="45" w:type="dxa"/>
            </w:tcMar>
            <w:vAlign w:val="center"/>
          </w:tcPr>
          <w:p>
            <w:pPr>
              <w:widowControl/>
              <w:spacing w:line="300" w:lineRule="exact"/>
              <w:jc w:val="left"/>
              <w:rPr>
                <w:bCs/>
                <w:szCs w:val="21"/>
              </w:rPr>
            </w:pPr>
            <w:r>
              <w:rPr>
                <w:rFonts w:hint="eastAsia"/>
                <w:bCs/>
                <w:szCs w:val="21"/>
              </w:rPr>
              <w:t>查看</w:t>
            </w:r>
            <w:r>
              <w:rPr>
                <w:bCs/>
                <w:szCs w:val="21"/>
              </w:rPr>
              <w:t>现场或实验室图片</w:t>
            </w:r>
          </w:p>
        </w:tc>
        <w:tc>
          <w:tcPr>
            <w:tcW w:w="599" w:type="dxa"/>
            <w:tcMar>
              <w:left w:w="45" w:type="dxa"/>
              <w:right w:w="45" w:type="dxa"/>
            </w:tcMar>
            <w:vAlign w:val="center"/>
          </w:tcPr>
          <w:p>
            <w:pPr>
              <w:widowControl/>
              <w:spacing w:line="300" w:lineRule="exact"/>
              <w:jc w:val="center"/>
              <w:rPr>
                <w:rFonts w:hint="eastAsia" w:eastAsia="宋体"/>
                <w:bCs/>
                <w:szCs w:val="21"/>
                <w:lang w:val="en-US" w:eastAsia="zh-CN"/>
              </w:rPr>
            </w:pPr>
          </w:p>
        </w:tc>
        <w:tc>
          <w:tcPr>
            <w:tcW w:w="853" w:type="dxa"/>
            <w:vAlign w:val="center"/>
          </w:tcPr>
          <w:p>
            <w:pPr>
              <w:widowControl/>
              <w:spacing w:line="300" w:lineRule="exact"/>
              <w:jc w:val="center"/>
              <w:rPr>
                <w:bCs/>
                <w:szCs w:val="21"/>
              </w:rPr>
            </w:pPr>
          </w:p>
        </w:tc>
        <w:tc>
          <w:tcPr>
            <w:tcW w:w="882" w:type="dxa"/>
            <w:vAlign w:val="center"/>
          </w:tcPr>
          <w:p>
            <w:pPr>
              <w:widowControl/>
              <w:spacing w:line="300" w:lineRule="exact"/>
              <w:jc w:val="center"/>
              <w:rPr>
                <w:bCs/>
                <w:szCs w:val="21"/>
              </w:rPr>
            </w:pPr>
          </w:p>
        </w:tc>
        <w:tc>
          <w:tcPr>
            <w:tcW w:w="2120" w:type="dxa"/>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szCs w:val="21"/>
              </w:rPr>
            </w:pPr>
            <w:r>
              <w:rPr>
                <w:rFonts w:eastAsia="黑体"/>
                <w:szCs w:val="21"/>
              </w:rPr>
              <w:t>5.1.17</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实验室</w:t>
            </w:r>
            <w:r>
              <w:rPr>
                <w:szCs w:val="21"/>
              </w:rPr>
              <w:t>内</w:t>
            </w:r>
            <w:r>
              <w:rPr>
                <w:rFonts w:hint="eastAsia"/>
                <w:szCs w:val="21"/>
              </w:rPr>
              <w:t>已</w:t>
            </w:r>
            <w:r>
              <w:rPr>
                <w:color w:val="0000FF"/>
                <w:szCs w:val="21"/>
              </w:rPr>
              <w:t>废弃不用</w:t>
            </w:r>
            <w:r>
              <w:rPr>
                <w:szCs w:val="21"/>
              </w:rPr>
              <w:t>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p>
        </w:tc>
        <w:tc>
          <w:tcPr>
            <w:tcW w:w="3260" w:type="dxa"/>
            <w:shd w:val="clear" w:color="auto" w:fill="auto"/>
            <w:tcMar>
              <w:left w:w="45" w:type="dxa"/>
              <w:right w:w="45" w:type="dxa"/>
            </w:tcMar>
            <w:vAlign w:val="center"/>
          </w:tcPr>
          <w:p>
            <w:pPr>
              <w:widowControl/>
              <w:spacing w:line="300" w:lineRule="exact"/>
              <w:jc w:val="left"/>
              <w:rPr>
                <w:bCs/>
                <w:szCs w:val="21"/>
              </w:rPr>
            </w:pPr>
            <w:r>
              <w:rPr>
                <w:rFonts w:hint="eastAsia"/>
                <w:bCs/>
                <w:szCs w:val="21"/>
              </w:rPr>
              <w:t>查看</w:t>
            </w:r>
            <w:r>
              <w:rPr>
                <w:bCs/>
                <w:szCs w:val="21"/>
              </w:rPr>
              <w:t>现场</w:t>
            </w:r>
          </w:p>
        </w:tc>
        <w:tc>
          <w:tcPr>
            <w:tcW w:w="599" w:type="dxa"/>
            <w:tcMar>
              <w:left w:w="45" w:type="dxa"/>
              <w:right w:w="45" w:type="dxa"/>
            </w:tcMar>
            <w:vAlign w:val="center"/>
          </w:tcPr>
          <w:p>
            <w:pPr>
              <w:widowControl/>
              <w:spacing w:line="300" w:lineRule="exact"/>
              <w:jc w:val="center"/>
              <w:rPr>
                <w:rFonts w:hint="eastAsia" w:eastAsia="宋体"/>
                <w:bCs/>
                <w:szCs w:val="21"/>
                <w:lang w:eastAsia="zh-CN"/>
              </w:rPr>
            </w:pPr>
          </w:p>
        </w:tc>
        <w:tc>
          <w:tcPr>
            <w:tcW w:w="853" w:type="dxa"/>
            <w:vAlign w:val="center"/>
          </w:tcPr>
          <w:p>
            <w:pPr>
              <w:widowControl/>
              <w:spacing w:line="300" w:lineRule="exact"/>
              <w:jc w:val="center"/>
              <w:rPr>
                <w:bCs/>
                <w:szCs w:val="21"/>
              </w:rPr>
            </w:pPr>
          </w:p>
        </w:tc>
        <w:tc>
          <w:tcPr>
            <w:tcW w:w="882" w:type="dxa"/>
            <w:vAlign w:val="center"/>
          </w:tcPr>
          <w:p>
            <w:pPr>
              <w:widowControl/>
              <w:spacing w:line="300" w:lineRule="exact"/>
              <w:jc w:val="center"/>
              <w:rPr>
                <w:bCs/>
                <w:szCs w:val="21"/>
              </w:rPr>
            </w:pPr>
          </w:p>
        </w:tc>
        <w:tc>
          <w:tcPr>
            <w:tcW w:w="2120" w:type="dxa"/>
            <w:vAlign w:val="center"/>
          </w:tcPr>
          <w:p>
            <w:pPr>
              <w:widowControl/>
              <w:spacing w:line="300" w:lineRule="exact"/>
              <w:jc w:val="left"/>
              <w:rPr>
                <w:rFonts w:hint="default" w:eastAsia="宋体"/>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b/>
                <w:kern w:val="0"/>
                <w:szCs w:val="21"/>
              </w:rPr>
              <w:t>5.2</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管线基础安全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5.2.1</w:t>
            </w:r>
          </w:p>
        </w:tc>
        <w:tc>
          <w:tcPr>
            <w:tcW w:w="5810" w:type="dxa"/>
            <w:shd w:val="clear" w:color="auto" w:fill="auto"/>
            <w:tcMar>
              <w:left w:w="45" w:type="dxa"/>
              <w:right w:w="45" w:type="dxa"/>
            </w:tcMar>
            <w:vAlign w:val="center"/>
          </w:tcPr>
          <w:p>
            <w:pPr>
              <w:spacing w:line="300" w:lineRule="exact"/>
              <w:jc w:val="left"/>
              <w:rPr>
                <w:rFonts w:ascii="宋体" w:hAnsi="宋体" w:cs="宋体"/>
                <w:szCs w:val="21"/>
              </w:rPr>
            </w:pPr>
            <w:r>
              <w:rPr>
                <w:rFonts w:hint="eastAsia"/>
                <w:szCs w:val="21"/>
              </w:rPr>
              <w:t>实验室水、电、气管线布局合理，选用合格产品，安装施工规范</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管线布局合理</w:t>
            </w:r>
          </w:p>
        </w:tc>
        <w:tc>
          <w:tcPr>
            <w:tcW w:w="599" w:type="dxa"/>
            <w:tcMar>
              <w:left w:w="45" w:type="dxa"/>
              <w:right w:w="45" w:type="dxa"/>
            </w:tcMar>
            <w:vAlign w:val="center"/>
          </w:tcPr>
          <w:p>
            <w:pPr>
              <w:spacing w:line="300" w:lineRule="exact"/>
              <w:jc w:val="center"/>
              <w:rPr>
                <w:rFonts w:hint="eastAsia" w:eastAsia="宋体"/>
                <w:bCs/>
                <w:szCs w:val="21"/>
                <w:lang w:val="en-US" w:eastAsia="zh-CN"/>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szCs w:val="21"/>
              </w:rPr>
              <w:t>5.2.2</w:t>
            </w:r>
          </w:p>
        </w:tc>
        <w:tc>
          <w:tcPr>
            <w:tcW w:w="5810" w:type="dxa"/>
            <w:shd w:val="clear" w:color="auto" w:fill="auto"/>
            <w:tcMar>
              <w:left w:w="45" w:type="dxa"/>
              <w:right w:w="45" w:type="dxa"/>
            </w:tcMar>
            <w:vAlign w:val="center"/>
          </w:tcPr>
          <w:p>
            <w:pPr>
              <w:spacing w:line="300" w:lineRule="exact"/>
              <w:jc w:val="left"/>
              <w:rPr>
                <w:rFonts w:ascii="宋体" w:hAnsi="宋体" w:cs="宋体"/>
                <w:szCs w:val="21"/>
              </w:rPr>
            </w:pPr>
            <w:r>
              <w:rPr>
                <w:rFonts w:hint="eastAsia"/>
                <w:szCs w:val="21"/>
              </w:rPr>
              <w:t>采用管道供气的实验室，输气管道及阀门无破损现象，并有明确标识</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供气管道有标识，无破损</w:t>
            </w:r>
          </w:p>
        </w:tc>
        <w:tc>
          <w:tcPr>
            <w:tcW w:w="599" w:type="dxa"/>
            <w:tcMar>
              <w:left w:w="45" w:type="dxa"/>
              <w:right w:w="45" w:type="dxa"/>
            </w:tcMar>
            <w:vAlign w:val="center"/>
          </w:tcPr>
          <w:p>
            <w:pPr>
              <w:spacing w:line="300" w:lineRule="exact"/>
              <w:jc w:val="center"/>
              <w:rPr>
                <w:rFonts w:hint="eastAsia" w:eastAsia="宋体"/>
                <w:bCs/>
                <w:szCs w:val="21"/>
                <w:lang w:val="en-US" w:eastAsia="zh-CN"/>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szCs w:val="21"/>
              </w:rPr>
              <w:t>5.2.3</w:t>
            </w:r>
          </w:p>
        </w:tc>
        <w:tc>
          <w:tcPr>
            <w:tcW w:w="5810" w:type="dxa"/>
            <w:shd w:val="clear" w:color="auto" w:fill="auto"/>
            <w:tcMar>
              <w:left w:w="45" w:type="dxa"/>
              <w:right w:w="45" w:type="dxa"/>
            </w:tcMar>
            <w:vAlign w:val="center"/>
          </w:tcPr>
          <w:p>
            <w:pPr>
              <w:spacing w:line="300" w:lineRule="exact"/>
              <w:jc w:val="left"/>
              <w:rPr>
                <w:rFonts w:ascii="宋体" w:hAnsi="宋体" w:cs="宋体"/>
                <w:szCs w:val="21"/>
              </w:rPr>
            </w:pPr>
            <w:r>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可燃气管道远离高温、明火</w:t>
            </w:r>
          </w:p>
        </w:tc>
        <w:tc>
          <w:tcPr>
            <w:tcW w:w="599" w:type="dxa"/>
            <w:tcMar>
              <w:left w:w="45" w:type="dxa"/>
              <w:right w:w="45" w:type="dxa"/>
            </w:tcMar>
            <w:vAlign w:val="center"/>
          </w:tcPr>
          <w:p>
            <w:pPr>
              <w:spacing w:line="300" w:lineRule="exact"/>
              <w:jc w:val="center"/>
              <w:rPr>
                <w:rFonts w:hint="eastAsia" w:eastAsia="宋体"/>
                <w:bCs/>
                <w:szCs w:val="21"/>
                <w:lang w:val="en-US" w:eastAsia="zh-CN"/>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5.3</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卫生与</w:t>
            </w:r>
            <w:r>
              <w:rPr>
                <w:rFonts w:hint="eastAsia"/>
                <w:b/>
                <w:kern w:val="0"/>
                <w:szCs w:val="21"/>
              </w:rPr>
              <w:t>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5.3.1</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color w:val="0000FF"/>
                <w:szCs w:val="21"/>
              </w:rPr>
              <w:t>有毒有害实验区与学习区明确分开，布局合理；</w:t>
            </w:r>
            <w:r>
              <w:rPr>
                <w:rFonts w:hint="eastAsia"/>
                <w:bCs/>
                <w:color w:val="0000FF"/>
                <w:szCs w:val="21"/>
              </w:rPr>
              <w:t>实验区不准</w:t>
            </w:r>
            <w:r>
              <w:rPr>
                <w:bCs/>
                <w:color w:val="0000FF"/>
                <w:szCs w:val="21"/>
              </w:rPr>
              <w:t>饮食</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重点关注化学</w:t>
            </w:r>
            <w:r>
              <w:rPr>
                <w:bCs/>
                <w:szCs w:val="21"/>
              </w:rPr>
              <w:t>、生物类实验室，</w:t>
            </w:r>
            <w:r>
              <w:rPr>
                <w:rFonts w:hint="eastAsia"/>
                <w:bCs/>
                <w:szCs w:val="21"/>
              </w:rPr>
              <w:t>分区布局合理</w:t>
            </w:r>
          </w:p>
        </w:tc>
        <w:tc>
          <w:tcPr>
            <w:tcW w:w="599" w:type="dxa"/>
            <w:tcMar>
              <w:left w:w="45" w:type="dxa"/>
              <w:right w:w="45" w:type="dxa"/>
            </w:tcMar>
            <w:vAlign w:val="center"/>
          </w:tcPr>
          <w:p>
            <w:pPr>
              <w:spacing w:line="300" w:lineRule="exact"/>
              <w:jc w:val="center"/>
              <w:rPr>
                <w:rFonts w:hint="eastAsia" w:eastAsia="宋体"/>
                <w:bCs/>
                <w:szCs w:val="21"/>
                <w:lang w:val="en-US" w:eastAsia="zh-CN"/>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szCs w:val="21"/>
              </w:rPr>
              <w:t>5.3.2</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实验室物品摆放有序，卫生状况良好；实验完毕物品归位</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整洁卫生有序</w:t>
            </w:r>
          </w:p>
        </w:tc>
        <w:tc>
          <w:tcPr>
            <w:tcW w:w="599" w:type="dxa"/>
            <w:tcMar>
              <w:left w:w="45" w:type="dxa"/>
              <w:right w:w="45" w:type="dxa"/>
            </w:tcMar>
            <w:vAlign w:val="center"/>
          </w:tcPr>
          <w:p>
            <w:pPr>
              <w:spacing w:line="300" w:lineRule="exact"/>
              <w:jc w:val="center"/>
              <w:rPr>
                <w:rFonts w:hint="eastAsia" w:eastAsia="宋体"/>
                <w:bCs/>
                <w:szCs w:val="21"/>
                <w:lang w:eastAsia="zh-CN"/>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szCs w:val="21"/>
              </w:rPr>
              <w:t>5.3.3</w:t>
            </w:r>
          </w:p>
        </w:tc>
        <w:tc>
          <w:tcPr>
            <w:tcW w:w="5810" w:type="dxa"/>
            <w:shd w:val="clear" w:color="auto" w:fill="auto"/>
            <w:tcMar>
              <w:left w:w="45" w:type="dxa"/>
              <w:right w:w="45" w:type="dxa"/>
            </w:tcMar>
            <w:vAlign w:val="center"/>
          </w:tcPr>
          <w:p>
            <w:pPr>
              <w:spacing w:line="300" w:lineRule="exact"/>
              <w:jc w:val="left"/>
              <w:rPr>
                <w:rFonts w:ascii="宋体" w:hAnsi="宋体" w:cs="宋体"/>
                <w:szCs w:val="21"/>
              </w:rPr>
            </w:pPr>
            <w:r>
              <w:rPr>
                <w:rFonts w:hint="eastAsia"/>
                <w:szCs w:val="21"/>
              </w:rPr>
              <w:t>不存在门开着而无人的现象</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人员要在岗</w:t>
            </w:r>
          </w:p>
        </w:tc>
        <w:tc>
          <w:tcPr>
            <w:tcW w:w="599" w:type="dxa"/>
            <w:tcMar>
              <w:left w:w="45" w:type="dxa"/>
              <w:right w:w="45" w:type="dxa"/>
            </w:tcMar>
            <w:vAlign w:val="center"/>
          </w:tcPr>
          <w:p>
            <w:pPr>
              <w:spacing w:line="300" w:lineRule="exact"/>
              <w:jc w:val="center"/>
              <w:rPr>
                <w:rFonts w:hint="eastAsia" w:eastAsia="宋体"/>
                <w:bCs/>
                <w:szCs w:val="21"/>
                <w:lang w:eastAsia="zh-CN"/>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rFonts w:hint="default" w:eastAsia="宋体"/>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szCs w:val="21"/>
              </w:rPr>
              <w:t>5.3.4</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无废弃物品（如纸板箱、废电脑、破仪器、破家具等）</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599" w:type="dxa"/>
            <w:tcMar>
              <w:left w:w="45" w:type="dxa"/>
              <w:right w:w="45" w:type="dxa"/>
            </w:tcMar>
            <w:vAlign w:val="center"/>
          </w:tcPr>
          <w:p>
            <w:pPr>
              <w:spacing w:line="300" w:lineRule="exact"/>
              <w:jc w:val="center"/>
              <w:rPr>
                <w:rFonts w:hint="eastAsia" w:eastAsia="宋体"/>
                <w:bCs/>
                <w:szCs w:val="21"/>
                <w:lang w:eastAsia="zh-CN"/>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rFonts w:hint="default" w:eastAsia="宋体"/>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szCs w:val="21"/>
              </w:rPr>
              <w:t>5.3.5</w:t>
            </w:r>
          </w:p>
        </w:tc>
        <w:tc>
          <w:tcPr>
            <w:tcW w:w="5810" w:type="dxa"/>
            <w:shd w:val="clear" w:color="auto" w:fill="auto"/>
            <w:tcMar>
              <w:left w:w="45" w:type="dxa"/>
              <w:right w:w="45" w:type="dxa"/>
            </w:tcMar>
            <w:vAlign w:val="center"/>
          </w:tcPr>
          <w:p>
            <w:pPr>
              <w:spacing w:line="300" w:lineRule="exact"/>
              <w:rPr>
                <w:szCs w:val="21"/>
              </w:rPr>
            </w:pPr>
            <w:r>
              <w:rPr>
                <w:rFonts w:hint="eastAsia"/>
                <w:szCs w:val="21"/>
              </w:rPr>
              <w:t>实验室</w:t>
            </w:r>
            <w:r>
              <w:rPr>
                <w:szCs w:val="21"/>
              </w:rPr>
              <w:t>有卫生安全值日表，有执行记录</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w:t>
            </w:r>
            <w:r>
              <w:rPr>
                <w:bCs/>
                <w:szCs w:val="21"/>
              </w:rPr>
              <w:t>记录表</w:t>
            </w:r>
          </w:p>
        </w:tc>
        <w:tc>
          <w:tcPr>
            <w:tcW w:w="599" w:type="dxa"/>
            <w:tcMar>
              <w:left w:w="45" w:type="dxa"/>
              <w:right w:w="45" w:type="dxa"/>
            </w:tcMar>
            <w:vAlign w:val="center"/>
          </w:tcPr>
          <w:p>
            <w:pPr>
              <w:spacing w:line="300" w:lineRule="exact"/>
              <w:jc w:val="center"/>
              <w:rPr>
                <w:rFonts w:hint="eastAsia" w:eastAsia="宋体"/>
                <w:bCs/>
                <w:szCs w:val="21"/>
                <w:lang w:val="en-US" w:eastAsia="zh-CN"/>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5.4</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场所其它安全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5.4.1</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实验室</w:t>
            </w:r>
            <w:r>
              <w:rPr>
                <w:szCs w:val="21"/>
              </w:rPr>
              <w:t>房间号编号规则有序</w:t>
            </w:r>
            <w:r>
              <w:rPr>
                <w:rFonts w:hint="eastAsia"/>
                <w:szCs w:val="21"/>
              </w:rPr>
              <w:t>，屋顶天花板安全固定、</w:t>
            </w:r>
            <w:r>
              <w:rPr>
                <w:szCs w:val="21"/>
              </w:rPr>
              <w:t>地面平整</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599" w:type="dxa"/>
            <w:tcMar>
              <w:left w:w="45" w:type="dxa"/>
              <w:right w:w="45" w:type="dxa"/>
            </w:tcMar>
            <w:vAlign w:val="center"/>
          </w:tcPr>
          <w:p>
            <w:pPr>
              <w:spacing w:line="300" w:lineRule="exact"/>
              <w:jc w:val="center"/>
              <w:rPr>
                <w:rFonts w:hint="eastAsia" w:eastAsia="宋体"/>
                <w:bCs/>
                <w:szCs w:val="21"/>
                <w:lang w:val="en-US" w:eastAsia="zh-CN"/>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szCs w:val="21"/>
              </w:rPr>
              <w:t>5.4.2</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危险性实验室配备了急救药箱，药箱不上锁、药品在保质期内</w:t>
            </w:r>
          </w:p>
        </w:tc>
        <w:tc>
          <w:tcPr>
            <w:tcW w:w="3260" w:type="dxa"/>
            <w:shd w:val="clear" w:color="auto" w:fill="auto"/>
            <w:tcMar>
              <w:left w:w="45" w:type="dxa"/>
              <w:right w:w="45" w:type="dxa"/>
            </w:tcMar>
            <w:vAlign w:val="center"/>
          </w:tcPr>
          <w:p>
            <w:pPr>
              <w:spacing w:line="300" w:lineRule="exact"/>
              <w:jc w:val="left"/>
              <w:rPr>
                <w:bCs/>
                <w:szCs w:val="21"/>
              </w:rPr>
            </w:pPr>
            <w:r>
              <w:rPr>
                <w:bCs/>
                <w:szCs w:val="21"/>
              </w:rPr>
              <w:t>不同</w:t>
            </w:r>
            <w:r>
              <w:rPr>
                <w:rFonts w:hint="eastAsia"/>
                <w:bCs/>
                <w:szCs w:val="21"/>
              </w:rPr>
              <w:t>类</w:t>
            </w:r>
            <w:r>
              <w:rPr>
                <w:bCs/>
                <w:szCs w:val="21"/>
              </w:rPr>
              <w:t>实验室</w:t>
            </w:r>
            <w:r>
              <w:rPr>
                <w:rFonts w:hint="eastAsia"/>
                <w:bCs/>
                <w:szCs w:val="21"/>
              </w:rPr>
              <w:t>的应急</w:t>
            </w:r>
            <w:r>
              <w:rPr>
                <w:bCs/>
                <w:szCs w:val="21"/>
              </w:rPr>
              <w:t>药品不同</w:t>
            </w:r>
            <w:r>
              <w:rPr>
                <w:rFonts w:hint="eastAsia"/>
                <w:bCs/>
                <w:szCs w:val="21"/>
              </w:rPr>
              <w:t>；</w:t>
            </w:r>
            <w:r>
              <w:rPr>
                <w:bCs/>
                <w:szCs w:val="21"/>
              </w:rPr>
              <w:t>机电</w:t>
            </w:r>
            <w:r>
              <w:rPr>
                <w:rFonts w:hint="eastAsia"/>
                <w:bCs/>
                <w:szCs w:val="21"/>
              </w:rPr>
              <w:t>类等</w:t>
            </w:r>
            <w:r>
              <w:rPr>
                <w:bCs/>
                <w:szCs w:val="21"/>
              </w:rPr>
              <w:t>实验室可以按楼层配备</w:t>
            </w:r>
          </w:p>
        </w:tc>
        <w:tc>
          <w:tcPr>
            <w:tcW w:w="599" w:type="dxa"/>
            <w:tcMar>
              <w:left w:w="45" w:type="dxa"/>
              <w:right w:w="45" w:type="dxa"/>
            </w:tcMar>
            <w:vAlign w:val="center"/>
          </w:tcPr>
          <w:p>
            <w:pPr>
              <w:spacing w:line="300" w:lineRule="exact"/>
              <w:jc w:val="center"/>
              <w:rPr>
                <w:rFonts w:hint="eastAsia" w:eastAsia="宋体"/>
                <w:bCs/>
                <w:szCs w:val="21"/>
                <w:lang w:eastAsia="zh-CN"/>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rFonts w:hint="default" w:eastAsia="宋体"/>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szCs w:val="21"/>
              </w:rPr>
              <w:t>5.4.3</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实验室内不放无关物品，如电动车、自行车等</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599" w:type="dxa"/>
            <w:tcMar>
              <w:left w:w="45" w:type="dxa"/>
              <w:right w:w="45" w:type="dxa"/>
            </w:tcMar>
            <w:vAlign w:val="center"/>
          </w:tcPr>
          <w:p>
            <w:pPr>
              <w:spacing w:line="300" w:lineRule="exact"/>
              <w:jc w:val="center"/>
              <w:rPr>
                <w:rFonts w:hint="eastAsia" w:eastAsia="宋体"/>
                <w:bCs/>
                <w:szCs w:val="21"/>
                <w:lang w:eastAsia="zh-CN"/>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rFonts w:hint="eastAsia" w:eastAsia="宋体"/>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szCs w:val="21"/>
              </w:rPr>
              <w:t>5.4.4</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实验室内不存放或烧煮食物、饮食，无吸烟现象</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有无烹饪</w:t>
            </w:r>
            <w:r>
              <w:rPr>
                <w:bCs/>
                <w:szCs w:val="21"/>
              </w:rPr>
              <w:t>工具、</w:t>
            </w:r>
            <w:r>
              <w:rPr>
                <w:rFonts w:hint="eastAsia"/>
                <w:bCs/>
                <w:szCs w:val="21"/>
              </w:rPr>
              <w:t>食物、吸烟</w:t>
            </w:r>
            <w:r>
              <w:rPr>
                <w:bCs/>
                <w:szCs w:val="21"/>
              </w:rPr>
              <w:t>痕迹</w:t>
            </w:r>
          </w:p>
        </w:tc>
        <w:tc>
          <w:tcPr>
            <w:tcW w:w="599" w:type="dxa"/>
            <w:tcMar>
              <w:left w:w="45" w:type="dxa"/>
              <w:right w:w="45" w:type="dxa"/>
            </w:tcMar>
            <w:vAlign w:val="center"/>
          </w:tcPr>
          <w:p>
            <w:pPr>
              <w:spacing w:line="300" w:lineRule="exact"/>
              <w:jc w:val="center"/>
              <w:rPr>
                <w:rFonts w:hint="eastAsia" w:eastAsia="宋体"/>
                <w:bCs/>
                <w:szCs w:val="21"/>
                <w:lang w:val="en-US" w:eastAsia="zh-CN"/>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szCs w:val="21"/>
              </w:rPr>
              <w:t>5.4.5</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不得在实验室内睡觉过夜</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有无</w:t>
            </w:r>
            <w:r>
              <w:rPr>
                <w:bCs/>
                <w:szCs w:val="21"/>
              </w:rPr>
              <w:t>席子、被褥等</w:t>
            </w:r>
          </w:p>
        </w:tc>
        <w:tc>
          <w:tcPr>
            <w:tcW w:w="599" w:type="dxa"/>
            <w:tcMar>
              <w:left w:w="45" w:type="dxa"/>
              <w:right w:w="45" w:type="dxa"/>
            </w:tcMar>
            <w:vAlign w:val="center"/>
          </w:tcPr>
          <w:p>
            <w:pPr>
              <w:spacing w:line="300" w:lineRule="exact"/>
              <w:jc w:val="center"/>
              <w:rPr>
                <w:rFonts w:hint="eastAsia" w:eastAsia="宋体"/>
                <w:bCs/>
                <w:szCs w:val="21"/>
                <w:lang w:val="en-US" w:eastAsia="zh-CN"/>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szCs w:val="21"/>
              </w:rPr>
              <w:t>5.4.6</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599" w:type="dxa"/>
            <w:tcMar>
              <w:left w:w="45" w:type="dxa"/>
              <w:right w:w="45" w:type="dxa"/>
            </w:tcMar>
            <w:vAlign w:val="center"/>
          </w:tcPr>
          <w:p>
            <w:pPr>
              <w:spacing w:line="300" w:lineRule="exact"/>
              <w:jc w:val="center"/>
              <w:rPr>
                <w:rFonts w:hint="eastAsia" w:eastAsia="宋体"/>
                <w:bCs/>
                <w:szCs w:val="21"/>
                <w:lang w:val="en-US" w:eastAsia="zh-CN"/>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szCs w:val="21"/>
              </w:rPr>
              <w:t>5.4.7</w:t>
            </w:r>
          </w:p>
        </w:tc>
        <w:tc>
          <w:tcPr>
            <w:tcW w:w="5810" w:type="dxa"/>
            <w:shd w:val="clear" w:color="auto" w:fill="auto"/>
            <w:tcMar>
              <w:left w:w="45" w:type="dxa"/>
              <w:right w:w="45" w:type="dxa"/>
            </w:tcMar>
            <w:vAlign w:val="center"/>
          </w:tcPr>
          <w:p>
            <w:pPr>
              <w:spacing w:line="300" w:lineRule="exact"/>
              <w:rPr>
                <w:szCs w:val="21"/>
              </w:rPr>
            </w:pPr>
            <w:r>
              <w:rPr>
                <w:rFonts w:hint="eastAsia"/>
                <w:szCs w:val="21"/>
              </w:rPr>
              <w:t>废弃</w:t>
            </w:r>
            <w:r>
              <w:rPr>
                <w:szCs w:val="21"/>
              </w:rPr>
              <w:t>不用的实验室，需</w:t>
            </w:r>
            <w:r>
              <w:rPr>
                <w:rFonts w:hint="eastAsia"/>
                <w:szCs w:val="21"/>
              </w:rPr>
              <w:t>明确</w:t>
            </w:r>
            <w:r>
              <w:rPr>
                <w:szCs w:val="21"/>
              </w:rPr>
              <w:t>责任</w:t>
            </w:r>
            <w:r>
              <w:rPr>
                <w:rFonts w:hint="eastAsia"/>
                <w:szCs w:val="21"/>
              </w:rPr>
              <w:t>落实</w:t>
            </w:r>
            <w:r>
              <w:rPr>
                <w:szCs w:val="21"/>
              </w:rPr>
              <w:t>安全防范措施</w:t>
            </w:r>
            <w:r>
              <w:rPr>
                <w:rFonts w:hint="eastAsia"/>
                <w:szCs w:val="21"/>
              </w:rPr>
              <w:t>；具有</w:t>
            </w:r>
            <w:r>
              <w:rPr>
                <w:szCs w:val="21"/>
              </w:rPr>
              <w:t>危险隐患的实验室及设备在拆除前必须做好安全论证</w:t>
            </w:r>
            <w:r>
              <w:rPr>
                <w:rFonts w:hint="eastAsia"/>
                <w:szCs w:val="21"/>
              </w:rPr>
              <w:t>，</w:t>
            </w:r>
            <w:r>
              <w:rPr>
                <w:szCs w:val="21"/>
              </w:rPr>
              <w:t>并认真实施</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查看现场</w:t>
            </w:r>
            <w:r>
              <w:rPr>
                <w:bCs/>
                <w:szCs w:val="21"/>
              </w:rPr>
              <w:t>与资料</w:t>
            </w:r>
          </w:p>
        </w:tc>
        <w:tc>
          <w:tcPr>
            <w:tcW w:w="599" w:type="dxa"/>
            <w:tcMar>
              <w:left w:w="45" w:type="dxa"/>
              <w:right w:w="45" w:type="dxa"/>
            </w:tcMar>
            <w:vAlign w:val="center"/>
          </w:tcPr>
          <w:p>
            <w:pPr>
              <w:spacing w:line="300" w:lineRule="exact"/>
              <w:jc w:val="center"/>
              <w:rPr>
                <w:rFonts w:hint="eastAsia" w:eastAsia="宋体"/>
                <w:bCs/>
                <w:szCs w:val="21"/>
                <w:lang w:val="en-US" w:eastAsia="zh-CN"/>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6</w:t>
            </w:r>
          </w:p>
        </w:tc>
        <w:tc>
          <w:tcPr>
            <w:tcW w:w="13524"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6.1</w:t>
            </w:r>
          </w:p>
        </w:tc>
        <w:tc>
          <w:tcPr>
            <w:tcW w:w="13524"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6.1.1</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具有潜在火灾危险的实验室内应配备合适的灭火设备（烟感</w:t>
            </w:r>
            <w:r>
              <w:rPr>
                <w:rFonts w:asciiTheme="minorEastAsia" w:hAnsiTheme="minorEastAsia" w:eastAsiaTheme="minorEastAsia"/>
                <w:kern w:val="0"/>
                <w:szCs w:val="21"/>
              </w:rPr>
              <w:t>报警器、</w:t>
            </w:r>
            <w:r>
              <w:rPr>
                <w:rFonts w:hint="eastAsia" w:asciiTheme="minorEastAsia" w:hAnsiTheme="minorEastAsia" w:eastAsiaTheme="minorEastAsia"/>
                <w:kern w:val="0"/>
                <w:szCs w:val="21"/>
              </w:rPr>
              <w:t>灭火器、 灭火毯、消防沙桶、消防喷淋等），正常有效、</w:t>
            </w:r>
            <w:r>
              <w:rPr>
                <w:rFonts w:asciiTheme="minorEastAsia" w:hAnsiTheme="minorEastAsia" w:eastAsiaTheme="minorEastAsia"/>
                <w:kern w:val="0"/>
                <w:szCs w:val="21"/>
              </w:rPr>
              <w:t>方便取用</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kern w:val="0"/>
                <w:szCs w:val="21"/>
              </w:rPr>
              <w:t>灭火器种类适合；</w:t>
            </w:r>
            <w:r>
              <w:rPr>
                <w:rFonts w:asciiTheme="minorEastAsia" w:hAnsiTheme="minorEastAsia" w:eastAsiaTheme="minorEastAsia"/>
                <w:bCs/>
                <w:kern w:val="0"/>
                <w:szCs w:val="21"/>
              </w:rPr>
              <w:t>公共</w:t>
            </w:r>
            <w:r>
              <w:rPr>
                <w:rFonts w:hint="eastAsia" w:asciiTheme="minorEastAsia" w:hAnsiTheme="minorEastAsia" w:eastAsiaTheme="minorEastAsia"/>
                <w:bCs/>
                <w:kern w:val="0"/>
                <w:szCs w:val="21"/>
              </w:rPr>
              <w:t>区域</w:t>
            </w:r>
            <w:r>
              <w:rPr>
                <w:rFonts w:asciiTheme="minorEastAsia" w:hAnsiTheme="minorEastAsia" w:eastAsiaTheme="minorEastAsia"/>
                <w:bCs/>
                <w:kern w:val="0"/>
                <w:szCs w:val="21"/>
              </w:rPr>
              <w:t>灭火器数量</w:t>
            </w:r>
            <w:r>
              <w:rPr>
                <w:rFonts w:hint="eastAsia" w:asciiTheme="minorEastAsia" w:hAnsiTheme="minorEastAsia" w:eastAsiaTheme="minorEastAsia"/>
                <w:bCs/>
                <w:kern w:val="0"/>
                <w:szCs w:val="21"/>
              </w:rPr>
              <w:t>（间距）</w:t>
            </w:r>
            <w:r>
              <w:rPr>
                <w:rFonts w:asciiTheme="minorEastAsia" w:hAnsiTheme="minorEastAsia" w:eastAsiaTheme="minorEastAsia"/>
                <w:bCs/>
                <w:kern w:val="0"/>
                <w:szCs w:val="21"/>
              </w:rPr>
              <w:t>与</w:t>
            </w:r>
            <w:r>
              <w:rPr>
                <w:rFonts w:hint="eastAsia" w:asciiTheme="minorEastAsia" w:hAnsiTheme="minorEastAsia" w:eastAsiaTheme="minorEastAsia"/>
                <w:bCs/>
                <w:kern w:val="0"/>
                <w:szCs w:val="21"/>
              </w:rPr>
              <w:t>实验室</w:t>
            </w:r>
            <w:r>
              <w:rPr>
                <w:rFonts w:asciiTheme="minorEastAsia" w:hAnsiTheme="minorEastAsia" w:eastAsiaTheme="minorEastAsia"/>
                <w:bCs/>
                <w:kern w:val="0"/>
                <w:szCs w:val="21"/>
              </w:rPr>
              <w:t>安全等级</w:t>
            </w:r>
            <w:r>
              <w:rPr>
                <w:rFonts w:hint="eastAsia" w:asciiTheme="minorEastAsia" w:hAnsiTheme="minorEastAsia" w:eastAsiaTheme="minorEastAsia"/>
                <w:bCs/>
                <w:kern w:val="0"/>
                <w:szCs w:val="21"/>
              </w:rPr>
              <w:t>相</w:t>
            </w:r>
            <w:r>
              <w:rPr>
                <w:rFonts w:asciiTheme="minorEastAsia" w:hAnsiTheme="minorEastAsia" w:eastAsiaTheme="minorEastAsia"/>
                <w:bCs/>
                <w:kern w:val="0"/>
                <w:szCs w:val="21"/>
              </w:rPr>
              <w:t>适应</w:t>
            </w:r>
          </w:p>
        </w:tc>
        <w:tc>
          <w:tcPr>
            <w:tcW w:w="599" w:type="dxa"/>
            <w:tcMar>
              <w:left w:w="45" w:type="dxa"/>
              <w:right w:w="45" w:type="dxa"/>
            </w:tcMar>
            <w:vAlign w:val="center"/>
          </w:tcPr>
          <w:p>
            <w:pPr>
              <w:widowControl/>
              <w:spacing w:line="300" w:lineRule="exact"/>
              <w:jc w:val="center"/>
              <w:rPr>
                <w:rFonts w:hint="eastAsia" w:asciiTheme="minorEastAsia" w:hAnsiTheme="minorEastAsia" w:eastAsiaTheme="minorEastAsia"/>
                <w:bCs/>
                <w:kern w:val="0"/>
                <w:szCs w:val="21"/>
                <w:lang w:val="en-US" w:eastAsia="zh-CN"/>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6.1.2</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灭火器在有效期内（压力指针</w:t>
            </w:r>
            <w:r>
              <w:rPr>
                <w:rFonts w:asciiTheme="minorEastAsia" w:hAnsiTheme="minorEastAsia" w:eastAsiaTheme="minorEastAsia"/>
                <w:kern w:val="0"/>
                <w:szCs w:val="21"/>
              </w:rPr>
              <w:t>位置</w:t>
            </w:r>
            <w:r>
              <w:rPr>
                <w:rFonts w:hint="eastAsia" w:asciiTheme="minorEastAsia" w:hAnsiTheme="minorEastAsia" w:eastAsiaTheme="minorEastAsia"/>
                <w:kern w:val="0"/>
                <w:szCs w:val="21"/>
              </w:rPr>
              <w:t>正常等），安全销（拉针）正常，瓶身无破损、腐蚀</w:t>
            </w:r>
          </w:p>
        </w:tc>
        <w:tc>
          <w:tcPr>
            <w:tcW w:w="3260" w:type="dxa"/>
            <w:shd w:val="clear" w:color="auto" w:fill="auto"/>
            <w:tcMar>
              <w:left w:w="45" w:type="dxa"/>
              <w:right w:w="45" w:type="dxa"/>
            </w:tcMar>
            <w:vAlign w:val="center"/>
          </w:tcPr>
          <w:p>
            <w:pPr>
              <w:spacing w:line="300" w:lineRule="exac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hint="eastAsia" w:asciiTheme="minorEastAsia" w:hAnsiTheme="minorEastAsia" w:eastAsiaTheme="minorEastAsia"/>
                <w:bCs/>
                <w:kern w:val="0"/>
                <w:szCs w:val="21"/>
                <w:lang w:val="en-US" w:eastAsia="zh-CN"/>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6.1.3</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hint="eastAsia" w:asciiTheme="minorEastAsia" w:hAnsiTheme="minorEastAsia" w:eastAsiaTheme="minorEastAsia"/>
                <w:bCs/>
                <w:kern w:val="0"/>
                <w:szCs w:val="21"/>
                <w:lang w:val="en-US" w:eastAsia="zh-CN"/>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6.1.4</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hint="eastAsia" w:asciiTheme="minorEastAsia" w:hAnsiTheme="minorEastAsia" w:eastAsiaTheme="minorEastAsia"/>
                <w:bCs/>
                <w:kern w:val="0"/>
                <w:szCs w:val="21"/>
                <w:lang w:val="en-US" w:eastAsia="zh-CN"/>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6.1.5</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定期</w:t>
            </w:r>
            <w:r>
              <w:rPr>
                <w:rFonts w:asciiTheme="minorEastAsia" w:hAnsiTheme="minorEastAsia" w:eastAsiaTheme="minorEastAsia"/>
                <w:kern w:val="0"/>
                <w:szCs w:val="21"/>
              </w:rPr>
              <w:t>开展</w:t>
            </w:r>
            <w:r>
              <w:rPr>
                <w:rFonts w:hint="eastAsia" w:asciiTheme="minorEastAsia" w:hAnsiTheme="minorEastAsia" w:eastAsiaTheme="minor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查看记录、现场提问</w:t>
            </w:r>
          </w:p>
        </w:tc>
        <w:tc>
          <w:tcPr>
            <w:tcW w:w="599" w:type="dxa"/>
            <w:tcMar>
              <w:left w:w="45" w:type="dxa"/>
              <w:right w:w="45" w:type="dxa"/>
            </w:tcMar>
            <w:vAlign w:val="center"/>
          </w:tcPr>
          <w:p>
            <w:pPr>
              <w:widowControl/>
              <w:spacing w:line="300" w:lineRule="exact"/>
              <w:jc w:val="center"/>
              <w:rPr>
                <w:rFonts w:hint="eastAsia" w:asciiTheme="minorEastAsia" w:hAnsiTheme="minorEastAsia" w:eastAsiaTheme="minorEastAsia"/>
                <w:bCs/>
                <w:kern w:val="0"/>
                <w:szCs w:val="21"/>
                <w:lang w:val="en-US" w:eastAsia="zh-CN"/>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6.2</w:t>
            </w:r>
          </w:p>
        </w:tc>
        <w:tc>
          <w:tcPr>
            <w:tcW w:w="13524"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应急喷淋</w:t>
            </w:r>
            <w:r>
              <w:rPr>
                <w:rFonts w:hint="eastAsia" w:asciiTheme="minorEastAsia" w:hAnsiTheme="minorEastAsia" w:eastAsiaTheme="minorEastAsia"/>
                <w:b/>
                <w:kern w:val="0"/>
                <w:szCs w:val="21"/>
              </w:rPr>
              <w:t>与</w:t>
            </w:r>
            <w:r>
              <w:rPr>
                <w:rFonts w:asciiTheme="minorEastAsia" w:hAnsiTheme="minorEastAsia" w:eastAsiaTheme="minorEastAsia"/>
                <w:b/>
                <w:kern w:val="0"/>
                <w:szCs w:val="21"/>
              </w:rPr>
              <w:t>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6.2.1</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存在可能受到化学和生物伤害的实验区域，需配置应急喷淋和洗眼装置，走廊有显著引导标识</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hint="eastAsia" w:asciiTheme="minorEastAsia" w:hAnsiTheme="minorEastAsia" w:eastAsiaTheme="minorEastAsia"/>
                <w:bCs/>
                <w:kern w:val="0"/>
                <w:szCs w:val="21"/>
                <w:lang w:val="en-US" w:eastAsia="zh-CN"/>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hint="default" w:asciiTheme="minorEastAsia" w:hAnsiTheme="minorEastAsia" w:eastAsiaTheme="minorEastAsia"/>
                <w:bCs/>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6.2.2</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应急喷淋安装地点与工作区域之间畅通，距离不超过30米；应急喷淋安装位置合适，拉杆位置</w:t>
            </w:r>
            <w:r>
              <w:rPr>
                <w:rFonts w:asciiTheme="minorEastAsia" w:hAnsiTheme="minorEastAsia" w:eastAsiaTheme="minorEastAsia"/>
                <w:kern w:val="0"/>
                <w:szCs w:val="21"/>
              </w:rPr>
              <w:t>合适、</w:t>
            </w:r>
            <w:r>
              <w:rPr>
                <w:rFonts w:hint="eastAsia" w:asciiTheme="minorEastAsia" w:hAnsiTheme="minorEastAsia" w:eastAsiaTheme="minorEastAsia"/>
                <w:kern w:val="0"/>
                <w:szCs w:val="21"/>
              </w:rPr>
              <w:t>方向</w:t>
            </w:r>
            <w:r>
              <w:rPr>
                <w:rFonts w:asciiTheme="minorEastAsia" w:hAnsiTheme="minorEastAsia" w:eastAsiaTheme="minorEastAsia"/>
                <w:kern w:val="0"/>
                <w:szCs w:val="21"/>
              </w:rPr>
              <w:t>正确</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asciiTheme="minorEastAsia" w:hAnsiTheme="minorEastAsia" w:eastAsiaTheme="minorEastAsia"/>
                <w:bCs/>
                <w:kern w:val="0"/>
                <w:szCs w:val="21"/>
              </w:rPr>
              <w:t>拉杆往下拉出水；在走廊</w:t>
            </w:r>
            <w:r>
              <w:rPr>
                <w:rFonts w:hint="eastAsia" w:asciiTheme="minorEastAsia" w:hAnsiTheme="minorEastAsia" w:eastAsiaTheme="minorEastAsia"/>
                <w:bCs/>
                <w:kern w:val="0"/>
                <w:szCs w:val="21"/>
              </w:rPr>
              <w:t>安装</w:t>
            </w:r>
            <w:r>
              <w:rPr>
                <w:rFonts w:asciiTheme="minorEastAsia" w:hAnsiTheme="minorEastAsia" w:eastAsiaTheme="minorEastAsia"/>
                <w:bCs/>
                <w:kern w:val="0"/>
                <w:szCs w:val="21"/>
              </w:rPr>
              <w:t>可以没有下水道</w:t>
            </w:r>
          </w:p>
        </w:tc>
        <w:tc>
          <w:tcPr>
            <w:tcW w:w="599" w:type="dxa"/>
            <w:tcMar>
              <w:left w:w="45" w:type="dxa"/>
              <w:right w:w="45" w:type="dxa"/>
            </w:tcMar>
            <w:vAlign w:val="center"/>
          </w:tcPr>
          <w:p>
            <w:pPr>
              <w:widowControl/>
              <w:spacing w:line="300" w:lineRule="exact"/>
              <w:jc w:val="center"/>
              <w:rPr>
                <w:rFonts w:hint="eastAsia" w:asciiTheme="minorEastAsia" w:hAnsiTheme="minorEastAsia" w:eastAsiaTheme="minorEastAsia"/>
                <w:bCs/>
                <w:kern w:val="0"/>
                <w:szCs w:val="21"/>
                <w:lang w:val="en-US" w:eastAsia="zh-CN"/>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6.2.3</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asciiTheme="minorEastAsia" w:hAnsiTheme="minorEastAsia" w:eastAsiaTheme="minorEastAsia"/>
                <w:kern w:val="0"/>
                <w:szCs w:val="21"/>
              </w:rPr>
              <w:t>应急喷淋装置水管总阀处常开状，喷</w:t>
            </w:r>
            <w:r>
              <w:rPr>
                <w:rFonts w:hint="eastAsia" w:asciiTheme="minorEastAsia" w:hAnsiTheme="minorEastAsia" w:eastAsiaTheme="minorEastAsia"/>
                <w:kern w:val="0"/>
                <w:szCs w:val="21"/>
              </w:rPr>
              <w:t>淋</w:t>
            </w:r>
            <w:r>
              <w:rPr>
                <w:rFonts w:asciiTheme="minorEastAsia" w:hAnsiTheme="minorEastAsia" w:eastAsiaTheme="minorEastAsia"/>
                <w:kern w:val="0"/>
                <w:szCs w:val="21"/>
              </w:rPr>
              <w:t>头下方无障碍物</w:t>
            </w:r>
            <w:r>
              <w:rPr>
                <w:rFonts w:hint="eastAsia" w:asciiTheme="minorEastAsia" w:hAnsiTheme="minorEastAsia" w:eastAsiaTheme="minorEastAsia"/>
                <w:kern w:val="0"/>
                <w:szCs w:val="21"/>
              </w:rPr>
              <w:t>；</w:t>
            </w:r>
            <w:r>
              <w:rPr>
                <w:rFonts w:asciiTheme="minorEastAsia" w:hAnsiTheme="minorEastAsia" w:eastAsiaTheme="minorEastAsia"/>
                <w:kern w:val="0"/>
                <w:szCs w:val="21"/>
              </w:rPr>
              <w:t>不能以普通淋浴装置代替应急喷淋装置</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hint="eastAsia" w:asciiTheme="minorEastAsia" w:hAnsiTheme="minorEastAsia" w:eastAsiaTheme="minorEastAsia"/>
                <w:bCs/>
                <w:kern w:val="0"/>
                <w:szCs w:val="21"/>
                <w:lang w:val="en-US" w:eastAsia="zh-CN"/>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6.2.4</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洗眼装置接入生活用水管道，水量水压适中（喷出高度</w:t>
            </w:r>
            <w:r>
              <w:rPr>
                <w:rFonts w:asciiTheme="minorEastAsia" w:hAnsiTheme="minorEastAsia" w:eastAsiaTheme="minorEastAsia"/>
                <w:kern w:val="0"/>
                <w:szCs w:val="21"/>
              </w:rPr>
              <w:t>8</w:t>
            </w:r>
            <w:r>
              <w:rPr>
                <w:rFonts w:hint="eastAsia" w:asciiTheme="minorEastAsia" w:hAnsiTheme="minorEastAsia" w:eastAsiaTheme="minorEastAsia"/>
                <w:kern w:val="0"/>
                <w:szCs w:val="21"/>
              </w:rPr>
              <w:t>-10cm），</w:t>
            </w:r>
            <w:r>
              <w:rPr>
                <w:rFonts w:hint="eastAsia" w:asciiTheme="minorEastAsia" w:hAnsiTheme="minorEastAsia" w:eastAsiaTheme="minorEastAsia"/>
                <w:bCs/>
                <w:kern w:val="0"/>
                <w:szCs w:val="21"/>
              </w:rPr>
              <w:t>水流畅通平稳</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不得接消防用水</w:t>
            </w:r>
          </w:p>
        </w:tc>
        <w:tc>
          <w:tcPr>
            <w:tcW w:w="599" w:type="dxa"/>
            <w:tcMar>
              <w:left w:w="45" w:type="dxa"/>
              <w:right w:w="45" w:type="dxa"/>
            </w:tcMar>
            <w:vAlign w:val="center"/>
          </w:tcPr>
          <w:p>
            <w:pPr>
              <w:widowControl/>
              <w:spacing w:line="300" w:lineRule="exact"/>
              <w:jc w:val="center"/>
              <w:rPr>
                <w:rFonts w:hint="eastAsia" w:asciiTheme="minorEastAsia" w:hAnsiTheme="minorEastAsia" w:eastAsiaTheme="minorEastAsia"/>
                <w:bCs/>
                <w:kern w:val="0"/>
                <w:szCs w:val="21"/>
                <w:lang w:val="en-US" w:eastAsia="zh-CN"/>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hint="default" w:asciiTheme="minorEastAsia" w:hAnsiTheme="minorEastAsia" w:eastAsiaTheme="minorEastAsia"/>
                <w:bCs/>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6.2.5</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定期维护应急喷淋与</w:t>
            </w:r>
            <w:r>
              <w:rPr>
                <w:rFonts w:asciiTheme="minorEastAsia" w:hAnsiTheme="minorEastAsia" w:eastAsiaTheme="minorEastAsia"/>
                <w:kern w:val="0"/>
                <w:szCs w:val="21"/>
              </w:rPr>
              <w:t>洗眼</w:t>
            </w:r>
            <w:r>
              <w:rPr>
                <w:rFonts w:hint="eastAsia" w:asciiTheme="minorEastAsia" w:hAnsiTheme="minorEastAsia" w:eastAsiaTheme="minor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查看维护记录、无锈水脏水</w:t>
            </w:r>
          </w:p>
        </w:tc>
        <w:tc>
          <w:tcPr>
            <w:tcW w:w="599" w:type="dxa"/>
            <w:tcMar>
              <w:left w:w="45" w:type="dxa"/>
              <w:right w:w="45" w:type="dxa"/>
            </w:tcMar>
            <w:vAlign w:val="center"/>
          </w:tcPr>
          <w:p>
            <w:pPr>
              <w:widowControl/>
              <w:spacing w:line="300" w:lineRule="exact"/>
              <w:jc w:val="center"/>
              <w:rPr>
                <w:rFonts w:hint="eastAsia" w:asciiTheme="minorEastAsia" w:hAnsiTheme="minorEastAsia" w:eastAsiaTheme="minorEastAsia"/>
                <w:bCs/>
                <w:kern w:val="0"/>
                <w:szCs w:val="21"/>
                <w:lang w:eastAsia="zh-CN"/>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hint="default" w:asciiTheme="minorEastAsia" w:hAnsiTheme="minorEastAsia" w:eastAsiaTheme="minorEastAsia"/>
                <w:bCs/>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6.3</w:t>
            </w:r>
          </w:p>
        </w:tc>
        <w:tc>
          <w:tcPr>
            <w:tcW w:w="13524"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6.3.1.</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有需要的实验场所</w:t>
            </w:r>
            <w:r>
              <w:rPr>
                <w:rFonts w:asciiTheme="minorEastAsia" w:hAnsiTheme="minorEastAsia" w:eastAsia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hint="eastAsia" w:asciiTheme="minorEastAsia" w:hAnsiTheme="minorEastAsia" w:eastAsiaTheme="minorEastAsia"/>
                <w:bCs/>
                <w:kern w:val="0"/>
                <w:szCs w:val="21"/>
                <w:lang w:val="en-US" w:eastAsia="zh-CN"/>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hint="default" w:asciiTheme="minorEastAsia" w:hAnsiTheme="minorEastAsia" w:eastAsiaTheme="minorEastAsia"/>
                <w:bCs/>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6.3.2</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实验室</w:t>
            </w:r>
            <w:r>
              <w:rPr>
                <w:rFonts w:asciiTheme="minorEastAsia" w:hAnsiTheme="minorEastAsia" w:eastAsiaTheme="minorEastAsia"/>
                <w:kern w:val="0"/>
                <w:szCs w:val="21"/>
              </w:rPr>
              <w:t>通风系统运行</w:t>
            </w:r>
            <w:r>
              <w:rPr>
                <w:rFonts w:hint="eastAsia" w:asciiTheme="minorEastAsia" w:hAnsiTheme="minorEastAsia" w:eastAsiaTheme="minorEastAsia"/>
                <w:kern w:val="0"/>
                <w:szCs w:val="21"/>
              </w:rPr>
              <w:t>正常，</w:t>
            </w:r>
            <w:r>
              <w:rPr>
                <w:rFonts w:hint="eastAsia"/>
                <w:szCs w:val="21"/>
              </w:rPr>
              <w:t>柜口面</w:t>
            </w:r>
            <w:r>
              <w:rPr>
                <w:rFonts w:hint="eastAsia" w:asciiTheme="minorEastAsia" w:hAnsiTheme="minorEastAsia" w:eastAsiaTheme="minorEastAsia"/>
                <w:kern w:val="0"/>
                <w:szCs w:val="21"/>
              </w:rPr>
              <w:t>风速0.</w:t>
            </w:r>
            <w:r>
              <w:rPr>
                <w:rFonts w:asciiTheme="minorEastAsia" w:hAnsiTheme="minorEastAsia" w:eastAsiaTheme="minorEastAsia"/>
                <w:kern w:val="0"/>
                <w:szCs w:val="21"/>
              </w:rPr>
              <w:t>3</w:t>
            </w:r>
            <w:r>
              <w:rPr>
                <w:rFonts w:hint="eastAsia" w:asciiTheme="minorEastAsia" w:hAnsiTheme="minorEastAsia" w:eastAsiaTheme="minorEastAsia"/>
                <w:kern w:val="0"/>
                <w:szCs w:val="21"/>
              </w:rPr>
              <w:t>5-0.</w:t>
            </w:r>
            <w:r>
              <w:rPr>
                <w:rFonts w:asciiTheme="minorEastAsia" w:hAnsiTheme="minorEastAsia" w:eastAsiaTheme="minorEastAsia"/>
                <w:kern w:val="0"/>
                <w:szCs w:val="21"/>
              </w:rPr>
              <w:t>7</w:t>
            </w:r>
            <w:r>
              <w:rPr>
                <w:rFonts w:hint="eastAsia" w:asciiTheme="minorEastAsia" w:hAnsiTheme="minorEastAsia" w:eastAsiaTheme="minorEastAsia"/>
                <w:kern w:val="0"/>
                <w:szCs w:val="21"/>
              </w:rPr>
              <w:t>5 m/s，定期进行维护、检修有</w:t>
            </w:r>
            <w:r>
              <w:rPr>
                <w:rFonts w:asciiTheme="minorEastAsia" w:hAnsiTheme="minorEastAsia" w:eastAsiaTheme="minorEastAsia"/>
                <w:kern w:val="0"/>
                <w:szCs w:val="21"/>
              </w:rPr>
              <w:t>记录</w:t>
            </w:r>
            <w:r>
              <w:rPr>
                <w:rFonts w:hint="eastAsia" w:asciiTheme="minorEastAsia" w:hAnsiTheme="minorEastAsia" w:eastAsiaTheme="minorEastAsia"/>
                <w:kern w:val="0"/>
                <w:szCs w:val="21"/>
              </w:rPr>
              <w:t>；</w:t>
            </w:r>
            <w:r>
              <w:rPr>
                <w:rFonts w:asciiTheme="minorEastAsia" w:hAnsiTheme="minorEastAsia" w:eastAsiaTheme="minorEastAsia"/>
                <w:kern w:val="0"/>
                <w:szCs w:val="21"/>
              </w:rPr>
              <w:t>屋顶风机固定无松动、无异常噪声</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w:t>
            </w:r>
            <w:r>
              <w:rPr>
                <w:rFonts w:asciiTheme="minorEastAsia" w:hAnsiTheme="minorEastAsia" w:eastAsiaTheme="minorEastAsia"/>
                <w:kern w:val="0"/>
                <w:szCs w:val="21"/>
              </w:rPr>
              <w:t>风速测定</w:t>
            </w:r>
            <w:r>
              <w:rPr>
                <w:rFonts w:hint="eastAsia" w:asciiTheme="minorEastAsia" w:hAnsiTheme="minorEastAsia" w:eastAsiaTheme="minorEastAsia"/>
                <w:bCs/>
                <w:kern w:val="0"/>
                <w:szCs w:val="21"/>
              </w:rPr>
              <w:t>、查阅记录</w:t>
            </w:r>
          </w:p>
        </w:tc>
        <w:tc>
          <w:tcPr>
            <w:tcW w:w="599"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853" w:type="dxa"/>
            <w:vAlign w:val="center"/>
          </w:tcPr>
          <w:p>
            <w:pPr>
              <w:widowControl/>
              <w:spacing w:line="300" w:lineRule="exact"/>
              <w:jc w:val="center"/>
              <w:rPr>
                <w:rFonts w:hint="default" w:asciiTheme="minorEastAsia" w:hAnsiTheme="minorEastAsia" w:eastAsiaTheme="minorEastAsia"/>
                <w:bCs/>
                <w:kern w:val="0"/>
                <w:szCs w:val="21"/>
                <w:lang w:val="en-US" w:eastAsia="zh-CN"/>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hint="default" w:asciiTheme="minorEastAsia" w:hAnsiTheme="minorEastAsia" w:eastAsiaTheme="minorEastAsia"/>
                <w:bCs/>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6.3.3</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根据需要在通风橱管路上安装有毒有害气体的吸附或处理装置（如</w:t>
            </w:r>
            <w:r>
              <w:rPr>
                <w:rFonts w:asciiTheme="minorEastAsia" w:hAnsiTheme="minorEastAsia" w:eastAsiaTheme="minorEastAsia"/>
                <w:kern w:val="0"/>
                <w:szCs w:val="21"/>
              </w:rPr>
              <w:t>活性炭、光催化分</w:t>
            </w:r>
            <w:r>
              <w:rPr>
                <w:rFonts w:hint="eastAsia" w:asciiTheme="minorEastAsia" w:hAnsiTheme="minorEastAsia" w:eastAsiaTheme="minorEastAsia"/>
                <w:kern w:val="0"/>
                <w:szCs w:val="21"/>
              </w:rPr>
              <w:t>解</w:t>
            </w:r>
            <w:r>
              <w:rPr>
                <w:rFonts w:asciiTheme="minorEastAsia" w:hAnsiTheme="minorEastAsia" w:eastAsiaTheme="minorEastAsia"/>
                <w:kern w:val="0"/>
                <w:szCs w:val="21"/>
              </w:rPr>
              <w:t>、水喷淋等</w:t>
            </w:r>
            <w:r>
              <w:rPr>
                <w:rFonts w:hint="eastAsia" w:asciiTheme="minorEastAsia" w:hAnsiTheme="minorEastAsia" w:eastAsiaTheme="minorEastAsia"/>
                <w:kern w:val="0"/>
                <w:szCs w:val="21"/>
              </w:rPr>
              <w:t>）</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查看</w:t>
            </w:r>
            <w:r>
              <w:rPr>
                <w:rFonts w:asciiTheme="minorEastAsia" w:hAnsiTheme="minorEastAsia" w:eastAsiaTheme="minorEastAsia"/>
                <w:bCs/>
                <w:kern w:val="0"/>
                <w:szCs w:val="21"/>
              </w:rPr>
              <w:t>现场</w:t>
            </w:r>
          </w:p>
        </w:tc>
        <w:tc>
          <w:tcPr>
            <w:tcW w:w="599"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853" w:type="dxa"/>
            <w:vAlign w:val="center"/>
          </w:tcPr>
          <w:p>
            <w:pPr>
              <w:widowControl/>
              <w:spacing w:line="300" w:lineRule="exact"/>
              <w:jc w:val="center"/>
              <w:rPr>
                <w:rFonts w:hint="default" w:asciiTheme="minorEastAsia" w:hAnsiTheme="minorEastAsia" w:eastAsiaTheme="minorEastAsia"/>
                <w:bCs/>
                <w:kern w:val="0"/>
                <w:szCs w:val="21"/>
                <w:lang w:val="en-US" w:eastAsia="zh-CN"/>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hint="eastAsia" w:asciiTheme="minorEastAsia" w:hAnsiTheme="minorEastAsia" w:eastAsiaTheme="minorEastAsia"/>
                <w:bCs/>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6.3.4</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hint="eastAsia" w:asciiTheme="minorEastAsia" w:hAnsiTheme="minorEastAsia" w:eastAsiaTheme="minorEastAsia"/>
                <w:bCs/>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6.3.5</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进行实验时，可调玻璃视窗开至据台面10</w:t>
            </w:r>
            <w:r>
              <w:rPr>
                <w:rFonts w:asciiTheme="minorEastAsia" w:hAnsiTheme="minorEastAsia" w:eastAsiaTheme="minorEastAsia"/>
                <w:kern w:val="0"/>
                <w:szCs w:val="21"/>
              </w:rPr>
              <w:t>-</w:t>
            </w:r>
            <w:r>
              <w:rPr>
                <w:rFonts w:hint="eastAsia" w:asciiTheme="minorEastAsia" w:hAnsiTheme="minorEastAsia" w:eastAsiaTheme="minorEastAsia"/>
                <w:kern w:val="0"/>
                <w:szCs w:val="21"/>
              </w:rPr>
              <w:t>15cm，保持</w:t>
            </w:r>
            <w:r>
              <w:rPr>
                <w:rFonts w:asciiTheme="minorEastAsia" w:hAnsiTheme="minorEastAsia" w:eastAsiaTheme="minorEastAsia"/>
                <w:kern w:val="0"/>
                <w:szCs w:val="21"/>
              </w:rPr>
              <w:t>通风效果，并保护</w:t>
            </w:r>
            <w:r>
              <w:rPr>
                <w:rFonts w:hint="eastAsia" w:asciiTheme="minorEastAsia" w:hAnsiTheme="minorEastAsia" w:eastAsiaTheme="minorEastAsia"/>
                <w:kern w:val="0"/>
                <w:szCs w:val="21"/>
              </w:rPr>
              <w:t>操作人员胸部以上部位</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r>
              <w:rPr>
                <w:rFonts w:asciiTheme="minorEastAsia" w:hAnsiTheme="minorEastAsia" w:eastAsiaTheme="minorEastAsia"/>
                <w:bCs/>
                <w:kern w:val="0"/>
                <w:szCs w:val="21"/>
              </w:rPr>
              <w:t>玻璃视窗材料应是钢化玻璃</w:t>
            </w:r>
          </w:p>
        </w:tc>
        <w:tc>
          <w:tcPr>
            <w:tcW w:w="599"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6.3.6</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6.3.7</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通风橱内应避免放置过多物品、器材，以免干扰空气的正常流动；通风橱内放置</w:t>
            </w:r>
            <w:r>
              <w:rPr>
                <w:rFonts w:asciiTheme="minorEastAsia" w:hAnsiTheme="minorEastAsia" w:eastAsiaTheme="minorEastAsia"/>
                <w:kern w:val="0"/>
                <w:szCs w:val="21"/>
              </w:rPr>
              <w:t>物品</w:t>
            </w:r>
            <w:r>
              <w:rPr>
                <w:rFonts w:hint="eastAsia" w:asciiTheme="minorEastAsia" w:hAnsiTheme="minorEastAsia" w:eastAsiaTheme="minorEastAsia"/>
                <w:kern w:val="0"/>
                <w:szCs w:val="21"/>
              </w:rPr>
              <w:t>应距离调节门内侧15cm左右，以免</w:t>
            </w:r>
            <w:r>
              <w:rPr>
                <w:rFonts w:asciiTheme="minorEastAsia" w:hAnsiTheme="minorEastAsia" w:eastAsiaTheme="minorEastAsia"/>
                <w:kern w:val="0"/>
                <w:szCs w:val="21"/>
              </w:rPr>
              <w:t>掉落</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6.3.8</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涉及</w:t>
            </w:r>
            <w:r>
              <w:rPr>
                <w:rFonts w:asciiTheme="minorEastAsia" w:hAnsiTheme="minorEastAsia" w:eastAsiaTheme="minorEastAsia"/>
                <w:kern w:val="0"/>
                <w:szCs w:val="21"/>
              </w:rPr>
              <w:t>易燃易爆有机试剂的通风</w:t>
            </w:r>
            <w:r>
              <w:rPr>
                <w:rFonts w:hint="eastAsia" w:asciiTheme="minorEastAsia" w:hAnsiTheme="minorEastAsia" w:eastAsiaTheme="minorEastAsia"/>
                <w:kern w:val="0"/>
                <w:szCs w:val="21"/>
              </w:rPr>
              <w:t>橱</w:t>
            </w:r>
            <w:r>
              <w:rPr>
                <w:rFonts w:asciiTheme="minorEastAsia" w:hAnsiTheme="minorEastAsia" w:eastAsiaTheme="minorEastAsia"/>
                <w:kern w:val="0"/>
                <w:szCs w:val="21"/>
              </w:rPr>
              <w:t>内不得安装电源插座</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hint="eastAsia" w:asciiTheme="minorEastAsia" w:hAnsiTheme="minorEastAsia" w:eastAsiaTheme="minorEastAsia"/>
                <w:bCs/>
                <w:kern w:val="0"/>
                <w:szCs w:val="21"/>
                <w:lang w:val="en-US" w:eastAsia="zh-CN"/>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6.3.9</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配备通风罩等的实验场所，</w:t>
            </w:r>
            <w:r>
              <w:rPr>
                <w:rFonts w:asciiTheme="minorEastAsia" w:hAnsiTheme="minorEastAsia" w:eastAsiaTheme="minorEastAsia"/>
                <w:kern w:val="0"/>
                <w:szCs w:val="21"/>
              </w:rPr>
              <w:t>换气扇、风机使用正常</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出口是否堵塞</w:t>
            </w:r>
          </w:p>
        </w:tc>
        <w:tc>
          <w:tcPr>
            <w:tcW w:w="599" w:type="dxa"/>
            <w:tcMar>
              <w:left w:w="45" w:type="dxa"/>
              <w:right w:w="45" w:type="dxa"/>
            </w:tcMar>
            <w:vAlign w:val="center"/>
          </w:tcPr>
          <w:p>
            <w:pPr>
              <w:widowControl/>
              <w:spacing w:line="300" w:lineRule="exact"/>
              <w:jc w:val="center"/>
              <w:rPr>
                <w:rFonts w:hint="eastAsia" w:asciiTheme="minorEastAsia" w:hAnsiTheme="minorEastAsia" w:eastAsiaTheme="minorEastAsia"/>
                <w:bCs/>
                <w:kern w:val="0"/>
                <w:szCs w:val="21"/>
                <w:lang w:val="en-US" w:eastAsia="zh-CN"/>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6.4</w:t>
            </w:r>
          </w:p>
        </w:tc>
        <w:tc>
          <w:tcPr>
            <w:tcW w:w="13524"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hint="eastAsia" w:asciiTheme="minorEastAsia" w:hAnsiTheme="minorEastAsia" w:eastAsiaTheme="minorEastAsia"/>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6.4.1</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szCs w:val="21"/>
              </w:rPr>
              <w:t>在剧毒品、病原微生物，特种设备和放射源存放点等重点</w:t>
            </w:r>
            <w:r>
              <w:rPr>
                <w:rFonts w:asciiTheme="minorEastAsia" w:hAnsiTheme="minorEastAsia" w:eastAsiaTheme="minorEastAsia"/>
                <w:szCs w:val="21"/>
              </w:rPr>
              <w:t>场所</w:t>
            </w:r>
            <w:r>
              <w:rPr>
                <w:rFonts w:hint="eastAsia" w:asciiTheme="minorEastAsia" w:hAnsiTheme="minorEastAsia" w:eastAsiaTheme="minorEastAsia"/>
                <w:szCs w:val="21"/>
              </w:rPr>
              <w:t>安装门禁和监控设施，运转正常，有专人管理</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hint="eastAsia" w:asciiTheme="minorEastAsia" w:hAnsiTheme="minorEastAsia" w:eastAsiaTheme="minorEastAsia"/>
                <w:bCs/>
                <w:kern w:val="0"/>
                <w:szCs w:val="21"/>
                <w:lang w:val="en-US" w:eastAsia="zh-CN"/>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hint="default" w:asciiTheme="minorEastAsia" w:hAnsiTheme="minorEastAsia" w:eastAsiaTheme="minorEastAsia"/>
                <w:bCs/>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6.4.2</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szCs w:val="21"/>
              </w:rPr>
              <w:t>监控不留死角，图像清晰，人员出入记录可查，视频记录存储时间大于1个月</w:t>
            </w:r>
            <w:r>
              <w:rPr>
                <w:rFonts w:asciiTheme="minorEastAsia" w:hAnsiTheme="minorEastAsia" w:eastAsiaTheme="minorEastAsia"/>
                <w:kern w:val="0"/>
                <w:szCs w:val="21"/>
              </w:rPr>
              <w:t xml:space="preserve"> </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hint="eastAsia" w:asciiTheme="minorEastAsia" w:hAnsiTheme="minorEastAsia" w:eastAsiaTheme="minorEastAsia"/>
                <w:bCs/>
                <w:kern w:val="0"/>
                <w:szCs w:val="21"/>
                <w:lang w:val="en-US" w:eastAsia="zh-CN"/>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6.4.3</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szCs w:val="21"/>
              </w:rPr>
            </w:pPr>
            <w:r>
              <w:rPr>
                <w:rFonts w:asciiTheme="minorEastAsia" w:hAnsiTheme="minorEastAsia" w:eastAsiaTheme="minorEastAsia"/>
                <w:szCs w:val="21"/>
              </w:rPr>
              <w:t>实验室采用门禁系统</w:t>
            </w:r>
            <w:r>
              <w:rPr>
                <w:rFonts w:hint="eastAsia" w:asciiTheme="minorEastAsia" w:hAnsiTheme="minorEastAsia" w:eastAsiaTheme="minorEastAsia"/>
                <w:szCs w:val="21"/>
              </w:rPr>
              <w:t>的</w:t>
            </w:r>
            <w:r>
              <w:rPr>
                <w:rFonts w:asciiTheme="minorEastAsia" w:hAnsiTheme="minorEastAsia" w:eastAsiaTheme="minorEastAsia"/>
                <w:szCs w:val="21"/>
              </w:rPr>
              <w:t>，与实验室准入制度</w:t>
            </w:r>
            <w:r>
              <w:rPr>
                <w:rFonts w:hint="eastAsia" w:asciiTheme="minorEastAsia" w:hAnsiTheme="minorEastAsia" w:eastAsiaTheme="minorEastAsia"/>
                <w:szCs w:val="21"/>
              </w:rPr>
              <w:t>相</w:t>
            </w:r>
            <w:r>
              <w:rPr>
                <w:rFonts w:asciiTheme="minorEastAsia" w:hAnsiTheme="minorEastAsia" w:eastAsiaTheme="minorEastAsia"/>
                <w:szCs w:val="21"/>
              </w:rPr>
              <w:t>匹配</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hint="eastAsia" w:asciiTheme="minorEastAsia" w:hAnsiTheme="minorEastAsia" w:eastAsiaTheme="minorEastAsia"/>
                <w:bCs/>
                <w:kern w:val="0"/>
                <w:szCs w:val="21"/>
                <w:lang w:val="en-US" w:eastAsia="zh-CN"/>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hint="eastAsia" w:asciiTheme="minorEastAsia" w:hAnsiTheme="minorEastAsia" w:eastAsiaTheme="minorEastAsia"/>
                <w:bCs/>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6.4.4</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szCs w:val="21"/>
              </w:rPr>
            </w:pPr>
            <w:r>
              <w:rPr>
                <w:rFonts w:asciiTheme="minorEastAsia" w:hAnsiTheme="minorEastAsia" w:eastAsiaTheme="minorEastAsia"/>
                <w:szCs w:val="21"/>
              </w:rPr>
              <w:t>停电时</w:t>
            </w:r>
            <w:r>
              <w:rPr>
                <w:rFonts w:hint="eastAsia" w:asciiTheme="minorEastAsia" w:hAnsiTheme="minorEastAsia" w:eastAsiaTheme="minorEastAsia"/>
                <w:szCs w:val="21"/>
              </w:rPr>
              <w:t>，电子</w:t>
            </w:r>
            <w:r>
              <w:rPr>
                <w:rFonts w:asciiTheme="minorEastAsia" w:hAnsiTheme="minorEastAsia" w:eastAsiaTheme="minorEastAsia"/>
                <w:szCs w:val="21"/>
              </w:rPr>
              <w:t>门禁系统</w:t>
            </w:r>
            <w:r>
              <w:rPr>
                <w:rFonts w:hint="eastAsia" w:asciiTheme="minorEastAsia" w:hAnsiTheme="minorEastAsia" w:eastAsiaTheme="minorEastAsia"/>
                <w:szCs w:val="21"/>
              </w:rPr>
              <w:t>应</w:t>
            </w:r>
            <w:r>
              <w:rPr>
                <w:rFonts w:asciiTheme="minorEastAsia" w:hAnsiTheme="minorEastAsia" w:eastAsiaTheme="minorEastAsia"/>
                <w:szCs w:val="21"/>
              </w:rPr>
              <w:t>是开启状态</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6.5</w:t>
            </w:r>
          </w:p>
        </w:tc>
        <w:tc>
          <w:tcPr>
            <w:tcW w:w="13524"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szCs w:val="21"/>
              </w:rPr>
            </w:pPr>
            <w:r>
              <w:rPr>
                <w:rFonts w:hint="eastAsia" w:asciiTheme="minorEastAsia" w:hAnsiTheme="minorEastAsia" w:eastAsiaTheme="minorEastAsia"/>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6.5.1</w:t>
            </w:r>
          </w:p>
        </w:tc>
        <w:tc>
          <w:tcPr>
            <w:tcW w:w="5810" w:type="dxa"/>
            <w:shd w:val="clear" w:color="auto" w:fill="auto"/>
            <w:tcMar>
              <w:left w:w="45" w:type="dxa"/>
              <w:right w:w="45" w:type="dxa"/>
            </w:tcMar>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防爆实验室需符合防爆设计要求，安装防爆开关、防爆灯等，安装必要</w:t>
            </w:r>
            <w:r>
              <w:rPr>
                <w:rFonts w:asciiTheme="minorEastAsia" w:hAnsiTheme="minorEastAsia" w:eastAsiaTheme="minorEastAsia"/>
                <w:szCs w:val="21"/>
              </w:rPr>
              <w:t>的</w:t>
            </w:r>
            <w:r>
              <w:rPr>
                <w:rFonts w:hint="eastAsia" w:asciiTheme="minorEastAsia" w:hAnsiTheme="minorEastAsia" w:eastAsiaTheme="minorEastAsia"/>
                <w:szCs w:val="21"/>
              </w:rPr>
              <w:t>气体报警系统、监控系统及断电断水应急系统等</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hint="eastAsia" w:asciiTheme="minorEastAsia" w:hAnsiTheme="minorEastAsia" w:eastAsiaTheme="minorEastAsia"/>
                <w:szCs w:val="21"/>
                <w:lang w:val="en-US" w:eastAsia="zh-CN"/>
              </w:rPr>
            </w:pPr>
          </w:p>
        </w:tc>
        <w:tc>
          <w:tcPr>
            <w:tcW w:w="853" w:type="dxa"/>
            <w:vAlign w:val="center"/>
          </w:tcPr>
          <w:p>
            <w:pPr>
              <w:widowControl/>
              <w:spacing w:line="300" w:lineRule="exact"/>
              <w:jc w:val="center"/>
              <w:rPr>
                <w:rFonts w:asciiTheme="minorEastAsia" w:hAnsiTheme="minorEastAsia" w:eastAsiaTheme="minorEastAsia"/>
                <w:szCs w:val="21"/>
              </w:rPr>
            </w:pPr>
          </w:p>
        </w:tc>
        <w:tc>
          <w:tcPr>
            <w:tcW w:w="882" w:type="dxa"/>
            <w:vAlign w:val="center"/>
          </w:tcPr>
          <w:p>
            <w:pPr>
              <w:widowControl/>
              <w:spacing w:line="300" w:lineRule="exact"/>
              <w:jc w:val="center"/>
              <w:rPr>
                <w:rFonts w:asciiTheme="minorEastAsia" w:hAnsiTheme="minorEastAsia" w:eastAsiaTheme="minorEastAsia"/>
                <w:szCs w:val="21"/>
              </w:rPr>
            </w:pPr>
          </w:p>
        </w:tc>
        <w:tc>
          <w:tcPr>
            <w:tcW w:w="2120" w:type="dxa"/>
            <w:vAlign w:val="center"/>
          </w:tcPr>
          <w:p>
            <w:pPr>
              <w:widowControl/>
              <w:spacing w:line="300" w:lineRule="exact"/>
              <w:jc w:val="left"/>
              <w:rPr>
                <w:rFonts w:hint="default" w:asciiTheme="minorEastAsia" w:hAnsiTheme="minorEastAsia" w:eastAsia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6.5.2</w:t>
            </w:r>
          </w:p>
        </w:tc>
        <w:tc>
          <w:tcPr>
            <w:tcW w:w="5810" w:type="dxa"/>
            <w:shd w:val="clear" w:color="auto" w:fill="auto"/>
            <w:tcMar>
              <w:left w:w="45" w:type="dxa"/>
              <w:right w:w="45" w:type="dxa"/>
            </w:tcMar>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对于产生可燃气体或蒸气的装置，应在其进、出口处安装阻火器。室内应加强通风，以使爆炸物浓度控制在爆炸下限值以下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hint="eastAsia" w:asciiTheme="minorEastAsia" w:hAnsiTheme="minorEastAsia" w:eastAsiaTheme="minorEastAsia"/>
                <w:szCs w:val="21"/>
                <w:lang w:eastAsia="zh-CN"/>
              </w:rPr>
            </w:pPr>
          </w:p>
        </w:tc>
        <w:tc>
          <w:tcPr>
            <w:tcW w:w="853" w:type="dxa"/>
            <w:vAlign w:val="center"/>
          </w:tcPr>
          <w:p>
            <w:pPr>
              <w:widowControl/>
              <w:spacing w:line="300" w:lineRule="exact"/>
              <w:jc w:val="center"/>
              <w:rPr>
                <w:rFonts w:asciiTheme="minorEastAsia" w:hAnsiTheme="minorEastAsia" w:eastAsiaTheme="minorEastAsia"/>
                <w:szCs w:val="21"/>
              </w:rPr>
            </w:pPr>
          </w:p>
        </w:tc>
        <w:tc>
          <w:tcPr>
            <w:tcW w:w="882" w:type="dxa"/>
            <w:vAlign w:val="center"/>
          </w:tcPr>
          <w:p>
            <w:pPr>
              <w:widowControl/>
              <w:spacing w:line="300" w:lineRule="exact"/>
              <w:jc w:val="center"/>
              <w:rPr>
                <w:rFonts w:asciiTheme="minorEastAsia" w:hAnsiTheme="minorEastAsia" w:eastAsiaTheme="minorEastAsia"/>
                <w:szCs w:val="21"/>
              </w:rPr>
            </w:pPr>
          </w:p>
        </w:tc>
        <w:tc>
          <w:tcPr>
            <w:tcW w:w="2120" w:type="dxa"/>
            <w:vAlign w:val="center"/>
          </w:tcPr>
          <w:p>
            <w:pPr>
              <w:widowControl/>
              <w:spacing w:line="300" w:lineRule="exact"/>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6.5.3</w:t>
            </w:r>
          </w:p>
        </w:tc>
        <w:tc>
          <w:tcPr>
            <w:tcW w:w="5810" w:type="dxa"/>
            <w:shd w:val="clear" w:color="auto" w:fill="auto"/>
            <w:tcMar>
              <w:left w:w="45" w:type="dxa"/>
              <w:right w:w="45" w:type="dxa"/>
            </w:tcMar>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对于有爆炸危险性的仪器设备，应使用合适的安全罩防护。</w:t>
            </w:r>
            <w:r>
              <w:rPr>
                <w:rFonts w:asciiTheme="minorEastAsia" w:hAnsiTheme="minorEastAsia" w:eastAsiaTheme="minorEastAsia"/>
                <w:szCs w:val="21"/>
              </w:rPr>
              <w:t xml:space="preserve"> </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asciiTheme="minorEastAsia" w:hAnsiTheme="minorEastAsia" w:eastAsiaTheme="minorEastAsia"/>
                <w:szCs w:val="21"/>
              </w:rPr>
            </w:pPr>
          </w:p>
        </w:tc>
        <w:tc>
          <w:tcPr>
            <w:tcW w:w="853" w:type="dxa"/>
            <w:vAlign w:val="center"/>
          </w:tcPr>
          <w:p>
            <w:pPr>
              <w:widowControl/>
              <w:spacing w:line="300" w:lineRule="exact"/>
              <w:jc w:val="center"/>
              <w:rPr>
                <w:rFonts w:asciiTheme="minorEastAsia" w:hAnsiTheme="minorEastAsia" w:eastAsiaTheme="minorEastAsia"/>
                <w:szCs w:val="21"/>
              </w:rPr>
            </w:pPr>
          </w:p>
        </w:tc>
        <w:tc>
          <w:tcPr>
            <w:tcW w:w="882" w:type="dxa"/>
            <w:vAlign w:val="center"/>
          </w:tcPr>
          <w:p>
            <w:pPr>
              <w:widowControl/>
              <w:spacing w:line="300" w:lineRule="exact"/>
              <w:jc w:val="center"/>
              <w:rPr>
                <w:rFonts w:asciiTheme="minorEastAsia" w:hAnsiTheme="minorEastAsia" w:eastAsiaTheme="minorEastAsia"/>
                <w:szCs w:val="21"/>
              </w:rPr>
            </w:pPr>
          </w:p>
        </w:tc>
        <w:tc>
          <w:tcPr>
            <w:tcW w:w="2120" w:type="dxa"/>
            <w:vAlign w:val="center"/>
          </w:tcPr>
          <w:p>
            <w:pPr>
              <w:widowControl/>
              <w:spacing w:line="300" w:lineRule="exact"/>
              <w:jc w:val="left"/>
              <w:rPr>
                <w:rFonts w:hint="default" w:asciiTheme="minorEastAsia" w:hAnsiTheme="minorEastAsia" w:eastAsia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7</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基础</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kern w:val="0"/>
                <w:szCs w:val="21"/>
              </w:rPr>
              <w:t>7.1</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用电基础安全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7.1.1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用电</w:t>
            </w:r>
            <w:r>
              <w:rPr>
                <w:bCs/>
                <w:kern w:val="0"/>
                <w:szCs w:val="21"/>
              </w:rPr>
              <w:t>功率匹配</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7.1.2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实验室和电气设备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且</w:t>
            </w:r>
            <w:r>
              <w:rPr>
                <w:rFonts w:hint="eastAsia"/>
                <w:kern w:val="0"/>
                <w:szCs w:val="21"/>
              </w:rPr>
              <w:t>应满足负荷和分断要求</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 xml:space="preserve">现场查看 </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7.1.3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7.1.4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7.1.5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查看现场</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7.1.6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无人</w:t>
            </w:r>
            <w:r>
              <w:rPr>
                <w:rFonts w:hint="eastAsia"/>
                <w:kern w:val="0"/>
                <w:szCs w:val="21"/>
              </w:rPr>
              <w:t>监管</w:t>
            </w:r>
            <w:r>
              <w:rPr>
                <w:kern w:val="0"/>
                <w:szCs w:val="21"/>
              </w:rPr>
              <w:t>状态下，</w:t>
            </w:r>
            <w:r>
              <w:rPr>
                <w:rFonts w:hint="eastAsia"/>
                <w:kern w:val="0"/>
                <w:szCs w:val="21"/>
              </w:rPr>
              <w:t>应切断</w:t>
            </w:r>
            <w:r>
              <w:rPr>
                <w:kern w:val="0"/>
                <w:szCs w:val="21"/>
              </w:rPr>
              <w:t>充电器（宝）</w:t>
            </w:r>
            <w:r>
              <w:rPr>
                <w:rFonts w:hint="eastAsia"/>
                <w:kern w:val="0"/>
                <w:szCs w:val="21"/>
              </w:rPr>
              <w:t>的</w:t>
            </w:r>
            <w:r>
              <w:rPr>
                <w:kern w:val="0"/>
                <w:szCs w:val="21"/>
              </w:rPr>
              <w:t>充电</w:t>
            </w:r>
            <w:r>
              <w:rPr>
                <w:rFonts w:hint="eastAsia"/>
                <w:kern w:val="0"/>
                <w:szCs w:val="21"/>
              </w:rPr>
              <w:t>电源</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有提醒标志</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7.1.7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电源插座</w:t>
            </w:r>
            <w:r>
              <w:rPr>
                <w:rFonts w:hint="eastAsia"/>
                <w:kern w:val="0"/>
                <w:szCs w:val="21"/>
              </w:rPr>
              <w:t>不宜安装在水槽边，若确有需要，应增设</w:t>
            </w:r>
            <w:r>
              <w:rPr>
                <w:kern w:val="0"/>
                <w:szCs w:val="21"/>
              </w:rPr>
              <w:t>防护挡板或防护罩</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7.1.8</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电线接头绝缘可靠，无裸露连接线，地</w:t>
            </w:r>
            <w:r>
              <w:rPr>
                <w:rFonts w:hint="eastAsia"/>
                <w:kern w:val="0"/>
                <w:szCs w:val="21"/>
              </w:rPr>
              <w:t>面</w:t>
            </w:r>
            <w:r>
              <w:rPr>
                <w:kern w:val="0"/>
                <w:szCs w:val="21"/>
              </w:rPr>
              <w:t>上的线缆应有盖板或护套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7.1.9</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配电柜/箱无物品遮挡并便于操作</w:t>
            </w:r>
            <w:r>
              <w:rPr>
                <w:rFonts w:hint="eastAsia"/>
                <w:kern w:val="0"/>
                <w:szCs w:val="21"/>
              </w:rPr>
              <w:t>；配电箱、开关、</w:t>
            </w:r>
            <w:r>
              <w:rPr>
                <w:kern w:val="0"/>
                <w:szCs w:val="21"/>
              </w:rPr>
              <w:t>插座等周围无易燃易爆</w:t>
            </w:r>
            <w:r>
              <w:rPr>
                <w:rFonts w:hint="eastAsia"/>
                <w:kern w:val="0"/>
                <w:szCs w:val="21"/>
              </w:rPr>
              <w:t>物品</w:t>
            </w:r>
            <w:r>
              <w:rPr>
                <w:kern w:val="0"/>
                <w:szCs w:val="21"/>
              </w:rPr>
              <w:t>堆放</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7.1.10</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插座、</w:t>
            </w:r>
            <w:r>
              <w:rPr>
                <w:kern w:val="0"/>
                <w:szCs w:val="21"/>
              </w:rPr>
              <w:t>插头</w:t>
            </w:r>
            <w:r>
              <w:rPr>
                <w:rFonts w:hint="eastAsia"/>
                <w:kern w:val="0"/>
                <w:szCs w:val="21"/>
              </w:rPr>
              <w:t>、</w:t>
            </w:r>
            <w:r>
              <w:rPr>
                <w:kern w:val="0"/>
                <w:szCs w:val="21"/>
              </w:rPr>
              <w:t>接线板为</w:t>
            </w:r>
            <w:r>
              <w:rPr>
                <w:rFonts w:hint="eastAsia"/>
                <w:kern w:val="0"/>
                <w:szCs w:val="21"/>
              </w:rPr>
              <w:t>国家</w:t>
            </w:r>
            <w:r>
              <w:rPr>
                <w:kern w:val="0"/>
                <w:szCs w:val="21"/>
              </w:rPr>
              <w:t>质量认证的合格产品，</w:t>
            </w:r>
            <w:r>
              <w:rPr>
                <w:rFonts w:hint="eastAsia"/>
                <w:kern w:val="0"/>
                <w:szCs w:val="21"/>
              </w:rPr>
              <w:t>无</w:t>
            </w:r>
            <w:r>
              <w:rPr>
                <w:kern w:val="0"/>
                <w:szCs w:val="21"/>
              </w:rPr>
              <w:t>烧焦变形</w:t>
            </w:r>
            <w:r>
              <w:rPr>
                <w:rFonts w:hint="eastAsia"/>
                <w:kern w:val="0"/>
                <w:szCs w:val="21"/>
              </w:rPr>
              <w:t>、</w:t>
            </w:r>
            <w:r>
              <w:rPr>
                <w:kern w:val="0"/>
                <w:szCs w:val="21"/>
              </w:rPr>
              <w:t>破损现象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7.1.11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易燃易爆气体等</w:t>
            </w:r>
            <w:r>
              <w:rPr>
                <w:kern w:val="0"/>
                <w:szCs w:val="21"/>
              </w:rPr>
              <w:t>特殊</w:t>
            </w:r>
            <w:r>
              <w:rPr>
                <w:rFonts w:hint="eastAsia"/>
                <w:kern w:val="0"/>
                <w:szCs w:val="21"/>
              </w:rPr>
              <w:t>实验室</w:t>
            </w:r>
            <w:r>
              <w:rPr>
                <w:kern w:val="0"/>
                <w:szCs w:val="21"/>
              </w:rPr>
              <w:t>的</w:t>
            </w:r>
            <w:r>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7.1.12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易</w:t>
            </w:r>
            <w:r>
              <w:rPr>
                <w:kern w:val="0"/>
                <w:szCs w:val="21"/>
              </w:rPr>
              <w:t>积水的实验</w:t>
            </w:r>
            <w:r>
              <w:rPr>
                <w:rFonts w:hint="eastAsia"/>
                <w:kern w:val="0"/>
                <w:szCs w:val="21"/>
              </w:rPr>
              <w:t>场所</w:t>
            </w:r>
            <w:r>
              <w:rPr>
                <w:kern w:val="0"/>
                <w:szCs w:val="21"/>
              </w:rPr>
              <w:t>，</w:t>
            </w:r>
            <w:r>
              <w:rPr>
                <w:rFonts w:hint="eastAsia"/>
                <w:kern w:val="0"/>
                <w:szCs w:val="21"/>
              </w:rPr>
              <w:t>取消</w:t>
            </w:r>
            <w:r>
              <w:rPr>
                <w:kern w:val="0"/>
                <w:szCs w:val="21"/>
              </w:rPr>
              <w:t>地</w:t>
            </w:r>
            <w:r>
              <w:rPr>
                <w:rFonts w:hint="eastAsia"/>
                <w:kern w:val="0"/>
                <w:szCs w:val="21"/>
              </w:rPr>
              <w:t>面</w:t>
            </w:r>
            <w:r>
              <w:rPr>
                <w:kern w:val="0"/>
                <w:szCs w:val="21"/>
              </w:rPr>
              <w:t>插</w:t>
            </w:r>
            <w:r>
              <w:rPr>
                <w:rFonts w:hint="eastAsia"/>
                <w:kern w:val="0"/>
                <w:szCs w:val="21"/>
              </w:rPr>
              <w:t>座；</w:t>
            </w:r>
            <w:r>
              <w:rPr>
                <w:kern w:val="0"/>
                <w:szCs w:val="21"/>
              </w:rPr>
              <w:t>积水时，地插须断电</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7.1.13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w:t>
            </w:r>
            <w:r>
              <w:rPr>
                <w:kern w:val="0"/>
                <w:szCs w:val="21"/>
              </w:rPr>
              <w:t>结束，</w:t>
            </w:r>
            <w:r>
              <w:rPr>
                <w:rFonts w:hint="eastAsia"/>
                <w:kern w:val="0"/>
                <w:szCs w:val="21"/>
              </w:rPr>
              <w:t>切断</w:t>
            </w:r>
            <w:r>
              <w:rPr>
                <w:kern w:val="0"/>
                <w:szCs w:val="21"/>
              </w:rPr>
              <w:t>电源</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7.2</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用水安全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7.2.1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水槽、</w:t>
            </w:r>
            <w:r>
              <w:rPr>
                <w:color w:val="0000FF"/>
                <w:kern w:val="0"/>
                <w:szCs w:val="21"/>
              </w:rPr>
              <w:t>地漏</w:t>
            </w:r>
            <w:r>
              <w:rPr>
                <w:kern w:val="0"/>
                <w:szCs w:val="21"/>
              </w:rPr>
              <w:t>及下水道畅通，水龙头、上下水管无破损</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查看现场</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default" w:eastAsia="宋体"/>
                <w:bCs/>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7.2.2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各类</w:t>
            </w:r>
            <w:r>
              <w:rPr>
                <w:rFonts w:hint="eastAsia"/>
                <w:kern w:val="0"/>
                <w:szCs w:val="21"/>
              </w:rPr>
              <w:t>连</w:t>
            </w:r>
            <w:r>
              <w:rPr>
                <w:kern w:val="0"/>
                <w:szCs w:val="21"/>
              </w:rPr>
              <w:t>接管无老化破损（特别是冷却冷凝系统的橡胶管接口处）</w:t>
            </w:r>
          </w:p>
        </w:tc>
        <w:tc>
          <w:tcPr>
            <w:tcW w:w="3260" w:type="dxa"/>
            <w:shd w:val="clear" w:color="auto" w:fill="auto"/>
            <w:tcMar>
              <w:left w:w="45" w:type="dxa"/>
              <w:right w:w="45" w:type="dxa"/>
            </w:tcMar>
            <w:vAlign w:val="center"/>
          </w:tcPr>
          <w:p>
            <w:pPr>
              <w:widowControl/>
              <w:tabs>
                <w:tab w:val="left" w:pos="630"/>
              </w:tabs>
              <w:spacing w:line="300" w:lineRule="exact"/>
              <w:jc w:val="left"/>
              <w:rPr>
                <w:bCs/>
                <w:kern w:val="0"/>
                <w:szCs w:val="21"/>
              </w:rPr>
            </w:pPr>
            <w:r>
              <w:rPr>
                <w:rFonts w:hint="eastAsia"/>
                <w:bCs/>
                <w:kern w:val="0"/>
                <w:szCs w:val="21"/>
              </w:rPr>
              <w:t>查看现场</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default" w:eastAsia="宋体"/>
                <w:bCs/>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7.2.3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无自来水龙头开着时人离开的现象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有提醒标志</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7.2.4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实验技术人员清楚</w:t>
            </w:r>
            <w:r>
              <w:rPr>
                <w:kern w:val="0"/>
                <w:szCs w:val="21"/>
              </w:rPr>
              <w:t>所在楼层及实验室</w:t>
            </w:r>
            <w:r>
              <w:rPr>
                <w:rFonts w:hint="eastAsia"/>
                <w:kern w:val="0"/>
                <w:szCs w:val="21"/>
              </w:rPr>
              <w:t>的各级水管</w:t>
            </w:r>
            <w:r>
              <w:rPr>
                <w:kern w:val="0"/>
                <w:szCs w:val="21"/>
              </w:rPr>
              <w:t>总阀</w:t>
            </w:r>
            <w:r>
              <w:rPr>
                <w:rFonts w:hint="eastAsia"/>
                <w:kern w:val="0"/>
                <w:szCs w:val="21"/>
              </w:rPr>
              <w:t xml:space="preserve">位置 </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询问</w:t>
            </w:r>
            <w:r>
              <w:rPr>
                <w:bCs/>
                <w:kern w:val="0"/>
                <w:szCs w:val="21"/>
              </w:rPr>
              <w:t>实验人员</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rFonts w:hint="default" w:eastAsia="宋体"/>
                <w:bCs/>
                <w:kern w:val="0"/>
                <w:szCs w:val="21"/>
                <w:lang w:val="en-US" w:eastAsia="zh-CN"/>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default" w:eastAsia="宋体"/>
                <w:bCs/>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7.3</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个人</w:t>
            </w:r>
            <w:r>
              <w:rPr>
                <w:b/>
                <w:kern w:val="0"/>
                <w:szCs w:val="21"/>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7.3.1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凡进入实验室人员需穿</w:t>
            </w:r>
            <w:r>
              <w:rPr>
                <w:rFonts w:hint="eastAsia"/>
                <w:kern w:val="0"/>
                <w:szCs w:val="21"/>
              </w:rPr>
              <w:t>着质地合适的</w:t>
            </w:r>
            <w:r>
              <w:rPr>
                <w:kern w:val="0"/>
                <w:szCs w:val="21"/>
              </w:rPr>
              <w:t>长袖实验服或防护服</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查看发放登记纪录</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default" w:eastAsia="宋体"/>
                <w:bCs/>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7.3.2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按需要佩戴防护眼镜（如进行化学实验、有危险的机械操作等）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w:t>
            </w:r>
            <w:r>
              <w:rPr>
                <w:rFonts w:hint="eastAsia"/>
                <w:bCs/>
                <w:kern w:val="0"/>
                <w:szCs w:val="21"/>
              </w:rPr>
              <w:t>发放纪录、并</w:t>
            </w:r>
            <w:r>
              <w:rPr>
                <w:bCs/>
                <w:kern w:val="0"/>
                <w:szCs w:val="21"/>
              </w:rPr>
              <w:t>询问</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7.3.3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进行化学</w:t>
            </w:r>
            <w:r>
              <w:rPr>
                <w:rFonts w:hint="eastAsia"/>
                <w:kern w:val="0"/>
                <w:szCs w:val="21"/>
              </w:rPr>
              <w:t>、</w:t>
            </w:r>
            <w:r>
              <w:rPr>
                <w:kern w:val="0"/>
                <w:szCs w:val="21"/>
              </w:rPr>
              <w:t>生物安全和高温实验时，不得佩戴隐形眼镜</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 xml:space="preserve">现场查看、询问 </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7.3.4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特殊场所按需佩戴安全帽、防护帽，长发不散露在外</w:t>
            </w:r>
            <w:r>
              <w:rPr>
                <w:rFonts w:hint="eastAsia"/>
                <w:kern w:val="0"/>
                <w:szCs w:val="21"/>
              </w:rPr>
              <w:t>。</w:t>
            </w:r>
            <w:r>
              <w:rPr>
                <w:kern w:val="0"/>
                <w:szCs w:val="21"/>
              </w:rPr>
              <w:t>操作机床等旋转设备时，不穿戴长围巾、丝巾、领带等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有提醒标志</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7.3.5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r>
              <w:rPr>
                <w:bCs/>
                <w:kern w:val="0"/>
                <w:szCs w:val="21"/>
              </w:rPr>
              <w:t>询问</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7.3.6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在特殊的实验室配备和使用呼吸器或面罩（如有挥发性毒物、溅射危险等），并正确选择种类</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r>
              <w:rPr>
                <w:rFonts w:hint="eastAsia"/>
                <w:bCs/>
                <w:kern w:val="0"/>
                <w:szCs w:val="21"/>
              </w:rPr>
              <w:t>、</w:t>
            </w:r>
            <w:r>
              <w:rPr>
                <w:bCs/>
                <w:kern w:val="0"/>
                <w:szCs w:val="21"/>
              </w:rPr>
              <w:t>询问</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7.3.7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防化服</w:t>
            </w:r>
            <w:r>
              <w:rPr>
                <w:rFonts w:hint="eastAsia"/>
                <w:kern w:val="0"/>
                <w:szCs w:val="21"/>
              </w:rPr>
              <w:t>等个人</w:t>
            </w:r>
            <w:r>
              <w:rPr>
                <w:kern w:val="0"/>
                <w:szCs w:val="21"/>
              </w:rPr>
              <w:t>防护</w:t>
            </w:r>
            <w:r>
              <w:rPr>
                <w:rFonts w:hint="eastAsia"/>
                <w:kern w:val="0"/>
                <w:szCs w:val="21"/>
              </w:rPr>
              <w:t>器具</w:t>
            </w:r>
            <w:r>
              <w:rPr>
                <w:kern w:val="0"/>
                <w:szCs w:val="21"/>
              </w:rPr>
              <w:t>分散存放在安全场所，</w:t>
            </w:r>
            <w:r>
              <w:rPr>
                <w:rFonts w:hint="eastAsia"/>
                <w:kern w:val="0"/>
                <w:szCs w:val="21"/>
              </w:rPr>
              <w:t>并有明显标识，</w:t>
            </w:r>
            <w:r>
              <w:rPr>
                <w:kern w:val="0"/>
                <w:szCs w:val="21"/>
              </w:rPr>
              <w:t>紧急情况下便于取用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w:t>
            </w:r>
            <w:r>
              <w:rPr>
                <w:rFonts w:hint="eastAsia"/>
                <w:bCs/>
                <w:kern w:val="0"/>
                <w:szCs w:val="21"/>
              </w:rPr>
              <w:t xml:space="preserve">标识 </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7.3.8</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各类个人防护器具的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eastAsia" w:eastAsia="宋体"/>
                <w:bCs/>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7.4</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7.4.1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危险性实验（如高温、高压、高速运转等）时必须有两人在场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w:t>
            </w:r>
            <w:r>
              <w:rPr>
                <w:rFonts w:hint="eastAsia"/>
                <w:bCs/>
                <w:kern w:val="0"/>
                <w:szCs w:val="21"/>
              </w:rPr>
              <w:t>实验纪录</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7.4.2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实验时不能脱岗，通宵实验须两人在场</w:t>
            </w:r>
            <w:r>
              <w:rPr>
                <w:rFonts w:hint="eastAsia"/>
                <w:kern w:val="0"/>
                <w:szCs w:val="21"/>
              </w:rPr>
              <w:t>并有事先审批制度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审批制度及记录</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eastAsia" w:eastAsia="宋体"/>
                <w:bCs/>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7.4.3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穿着化学、生物类实验服或带实验手套，不得随意出入非实验区（如会议室、办公室、休息室、餐厅、电梯等）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7.4.4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w:t>
            </w:r>
            <w:r>
              <w:rPr>
                <w:kern w:val="0"/>
                <w:szCs w:val="21"/>
              </w:rPr>
              <w:t>结束后物品归位</w:t>
            </w:r>
            <w:r>
              <w:rPr>
                <w:rFonts w:hint="eastAsia"/>
                <w:kern w:val="0"/>
                <w:szCs w:val="21"/>
              </w:rPr>
              <w:t>，保持</w:t>
            </w:r>
            <w:r>
              <w:rPr>
                <w:kern w:val="0"/>
                <w:szCs w:val="21"/>
              </w:rPr>
              <w:t>桌面整洁</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查看实验</w:t>
            </w:r>
            <w:r>
              <w:rPr>
                <w:bCs/>
                <w:kern w:val="0"/>
                <w:szCs w:val="21"/>
              </w:rPr>
              <w:t>台面是否整洁</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7.4.5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手机、银行卡</w:t>
            </w:r>
            <w:r>
              <w:rPr>
                <w:rFonts w:hint="eastAsia"/>
                <w:kern w:val="0"/>
                <w:szCs w:val="21"/>
              </w:rPr>
              <w:t>、校园卡</w:t>
            </w:r>
            <w:r>
              <w:rPr>
                <w:kern w:val="0"/>
                <w:szCs w:val="21"/>
              </w:rPr>
              <w:t>等</w:t>
            </w:r>
            <w:r>
              <w:rPr>
                <w:rFonts w:hint="eastAsia"/>
                <w:kern w:val="0"/>
                <w:szCs w:val="21"/>
              </w:rPr>
              <w:t>物品不得</w:t>
            </w:r>
            <w:r>
              <w:rPr>
                <w:kern w:val="0"/>
                <w:szCs w:val="21"/>
              </w:rPr>
              <w:t>带入高磁场实验室</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查看提醒标识</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7.4.6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实验记录规范</w:t>
            </w:r>
            <w:r>
              <w:rPr>
                <w:rFonts w:hint="eastAsia"/>
                <w:kern w:val="0"/>
                <w:szCs w:val="21"/>
              </w:rPr>
              <w:t>、</w:t>
            </w:r>
            <w:r>
              <w:rPr>
                <w:kern w:val="0"/>
                <w:szCs w:val="21"/>
              </w:rPr>
              <w:t>清晰</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实验记录</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8</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8.1</w:t>
            </w:r>
          </w:p>
        </w:tc>
        <w:tc>
          <w:tcPr>
            <w:tcW w:w="13524"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危险化学品</w:t>
            </w:r>
            <w:r>
              <w:rPr>
                <w:b/>
                <w:bCs/>
                <w:kern w:val="0"/>
                <w:szCs w:val="21"/>
              </w:rPr>
              <w:t>采购</w:t>
            </w:r>
            <w:r>
              <w:rPr>
                <w:rFonts w:hint="eastAsia"/>
                <w:b/>
                <w:bCs/>
                <w:kern w:val="0"/>
                <w:szCs w:val="21"/>
              </w:rPr>
              <w:t>、</w:t>
            </w:r>
            <w:r>
              <w:rPr>
                <w:b/>
                <w:bCs/>
                <w:kern w:val="0"/>
                <w:szCs w:val="21"/>
              </w:rPr>
              <w:t>验收</w:t>
            </w:r>
            <w:r>
              <w:rPr>
                <w:rFonts w:hint="eastAsia"/>
                <w:b/>
                <w:bCs/>
                <w:kern w:val="0"/>
                <w:szCs w:val="21"/>
              </w:rPr>
              <w:t>、发</w:t>
            </w:r>
            <w:r>
              <w:rPr>
                <w:b/>
                <w:bCs/>
                <w:kern w:val="0"/>
                <w:szCs w:val="21"/>
              </w:rPr>
              <w:t>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8.1.4</w:t>
            </w:r>
          </w:p>
        </w:tc>
        <w:tc>
          <w:tcPr>
            <w:tcW w:w="5810" w:type="dxa"/>
            <w:shd w:val="clear" w:color="auto" w:fill="auto"/>
            <w:tcMar>
              <w:left w:w="45" w:type="dxa"/>
              <w:right w:w="45" w:type="dxa"/>
            </w:tcMar>
            <w:vAlign w:val="center"/>
          </w:tcPr>
          <w:p>
            <w:pPr>
              <w:autoSpaceDE w:val="0"/>
              <w:autoSpaceDN w:val="0"/>
              <w:adjustRightInd w:val="0"/>
              <w:spacing w:line="300" w:lineRule="exact"/>
              <w:jc w:val="left"/>
              <w:rPr>
                <w:kern w:val="0"/>
                <w:szCs w:val="21"/>
              </w:rPr>
            </w:pPr>
            <w:r>
              <w:rPr>
                <w:rFonts w:hint="eastAsia"/>
                <w:kern w:val="0"/>
                <w:szCs w:val="21"/>
              </w:rPr>
              <w:t>购买危险化学品应有规范的验收记录</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查看验收记录</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8.2</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实验室</w:t>
            </w:r>
            <w:r>
              <w:rPr>
                <w:b/>
                <w:kern w:val="0"/>
                <w:szCs w:val="21"/>
              </w:rPr>
              <w:t>化学试剂存放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8.2.1</w:t>
            </w:r>
          </w:p>
        </w:tc>
        <w:tc>
          <w:tcPr>
            <w:tcW w:w="5810" w:type="dxa"/>
            <w:shd w:val="clear" w:color="auto" w:fill="auto"/>
            <w:tcMar>
              <w:left w:w="45" w:type="dxa"/>
              <w:right w:w="45" w:type="dxa"/>
            </w:tcMar>
            <w:vAlign w:val="center"/>
          </w:tcPr>
          <w:p>
            <w:pPr>
              <w:widowControl/>
              <w:spacing w:line="300" w:lineRule="exact"/>
              <w:rPr>
                <w:b/>
                <w:kern w:val="0"/>
                <w:szCs w:val="21"/>
              </w:rPr>
            </w:pPr>
            <w:r>
              <w:rPr>
                <w:kern w:val="0"/>
                <w:szCs w:val="21"/>
              </w:rPr>
              <w:t>有</w:t>
            </w:r>
            <w:r>
              <w:rPr>
                <w:rFonts w:hint="eastAsia"/>
                <w:kern w:val="0"/>
                <w:szCs w:val="21"/>
              </w:rPr>
              <w:t>实验室</w:t>
            </w:r>
            <w:r>
              <w:rPr>
                <w:kern w:val="0"/>
                <w:szCs w:val="21"/>
              </w:rPr>
              <w:t>内化学品的动态</w:t>
            </w:r>
            <w:r>
              <w:rPr>
                <w:rFonts w:hint="eastAsia"/>
                <w:kern w:val="0"/>
                <w:szCs w:val="21"/>
              </w:rPr>
              <w:t>使用</w:t>
            </w:r>
            <w:r>
              <w:rPr>
                <w:kern w:val="0"/>
                <w:szCs w:val="21"/>
              </w:rPr>
              <w:t>台帐</w:t>
            </w: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化学品安全技术说明书（MSDS）或安全周知卡，</w:t>
            </w:r>
            <w:r>
              <w:rPr>
                <w:rFonts w:hint="eastAsia"/>
                <w:kern w:val="0"/>
                <w:szCs w:val="21"/>
              </w:rPr>
              <w:t>方便查阅</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8.2.2</w:t>
            </w:r>
          </w:p>
        </w:tc>
        <w:tc>
          <w:tcPr>
            <w:tcW w:w="5810" w:type="dxa"/>
            <w:shd w:val="clear" w:color="auto" w:fill="auto"/>
            <w:tcMar>
              <w:left w:w="45" w:type="dxa"/>
              <w:right w:w="45" w:type="dxa"/>
            </w:tcMar>
            <w:vAlign w:val="center"/>
          </w:tcPr>
          <w:p>
            <w:pPr>
              <w:widowControl/>
              <w:spacing w:line="300" w:lineRule="exact"/>
              <w:rPr>
                <w:szCs w:val="21"/>
              </w:rPr>
            </w:pPr>
            <w:r>
              <w:rPr>
                <w:rFonts w:hint="eastAsia"/>
                <w:szCs w:val="21"/>
              </w:rPr>
              <w:t>实验</w:t>
            </w:r>
            <w:r>
              <w:rPr>
                <w:szCs w:val="21"/>
              </w:rPr>
              <w:t>室应</w:t>
            </w:r>
            <w:r>
              <w:rPr>
                <w:rFonts w:hint="eastAsia"/>
                <w:szCs w:val="21"/>
              </w:rPr>
              <w:t>有专用于存放试剂药品的空间（储藏室、储藏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现</w:t>
            </w:r>
            <w:r>
              <w:rPr>
                <w:bCs/>
                <w:kern w:val="0"/>
                <w:szCs w:val="21"/>
              </w:rPr>
              <w:t>场</w:t>
            </w:r>
            <w:r>
              <w:rPr>
                <w:rFonts w:hint="eastAsia"/>
                <w:bCs/>
                <w:kern w:val="0"/>
                <w:szCs w:val="21"/>
              </w:rPr>
              <w:t>，注意</w:t>
            </w:r>
            <w:r>
              <w:rPr>
                <w:bCs/>
                <w:kern w:val="0"/>
                <w:szCs w:val="21"/>
              </w:rPr>
              <w:t>避免</w:t>
            </w:r>
            <w:r>
              <w:rPr>
                <w:rFonts w:hint="eastAsia"/>
                <w:bCs/>
                <w:kern w:val="0"/>
                <w:szCs w:val="21"/>
              </w:rPr>
              <w:t>储存</w:t>
            </w:r>
            <w:r>
              <w:rPr>
                <w:bCs/>
                <w:kern w:val="0"/>
                <w:szCs w:val="21"/>
              </w:rPr>
              <w:t>区</w:t>
            </w:r>
            <w:r>
              <w:rPr>
                <w:rFonts w:hint="eastAsia"/>
                <w:bCs/>
                <w:kern w:val="0"/>
                <w:szCs w:val="21"/>
              </w:rPr>
              <w:t>近</w:t>
            </w:r>
            <w:r>
              <w:rPr>
                <w:bCs/>
                <w:kern w:val="0"/>
                <w:szCs w:val="21"/>
              </w:rPr>
              <w:t>处有火源、热源</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8.2.3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化学品</w:t>
            </w:r>
            <w:r>
              <w:rPr>
                <w:kern w:val="0"/>
                <w:szCs w:val="21"/>
              </w:rPr>
              <w:t>有序分类存放</w:t>
            </w:r>
            <w:r>
              <w:rPr>
                <w:rFonts w:hint="eastAsia"/>
                <w:kern w:val="0"/>
                <w:szCs w:val="21"/>
              </w:rPr>
              <w:t>；配</w:t>
            </w:r>
            <w:r>
              <w:rPr>
                <w:kern w:val="0"/>
                <w:szCs w:val="21"/>
              </w:rPr>
              <w:t>备</w:t>
            </w:r>
            <w:r>
              <w:rPr>
                <w:rFonts w:hint="eastAsia"/>
                <w:kern w:val="0"/>
                <w:szCs w:val="21"/>
              </w:rPr>
              <w:t>必</w:t>
            </w:r>
            <w:r>
              <w:rPr>
                <w:kern w:val="0"/>
                <w:szCs w:val="21"/>
              </w:rPr>
              <w:t>要的二次泄漏防护</w:t>
            </w:r>
            <w:r>
              <w:rPr>
                <w:rFonts w:hint="eastAsia"/>
                <w:kern w:val="0"/>
                <w:szCs w:val="21"/>
              </w:rPr>
              <w:t>、</w:t>
            </w:r>
            <w:r>
              <w:rPr>
                <w:kern w:val="0"/>
                <w:szCs w:val="21"/>
              </w:rPr>
              <w:t>吸附或</w:t>
            </w:r>
            <w:r>
              <w:rPr>
                <w:rFonts w:hint="eastAsia"/>
                <w:kern w:val="0"/>
                <w:szCs w:val="21"/>
              </w:rPr>
              <w:t>防</w:t>
            </w:r>
            <w:r>
              <w:rPr>
                <w:kern w:val="0"/>
                <w:szCs w:val="21"/>
              </w:rPr>
              <w:t>溢流</w:t>
            </w:r>
            <w:r>
              <w:rPr>
                <w:rFonts w:hint="eastAsia"/>
                <w:kern w:val="0"/>
                <w:szCs w:val="21"/>
              </w:rPr>
              <w:t>功能；试剂</w:t>
            </w:r>
            <w:r>
              <w:rPr>
                <w:kern w:val="0"/>
                <w:szCs w:val="21"/>
              </w:rPr>
              <w:t>不得叠放</w:t>
            </w:r>
            <w:r>
              <w:rPr>
                <w:rFonts w:hint="eastAsia"/>
                <w:kern w:val="0"/>
                <w:szCs w:val="21"/>
              </w:rPr>
              <w:t>、配伍</w:t>
            </w:r>
            <w:r>
              <w:rPr>
                <w:kern w:val="0"/>
                <w:szCs w:val="21"/>
              </w:rPr>
              <w:t>禁忌化学品不得混存</w:t>
            </w:r>
            <w:r>
              <w:rPr>
                <w:rFonts w:hint="eastAsia"/>
                <w:kern w:val="0"/>
                <w:szCs w:val="21"/>
              </w:rPr>
              <w:t>、</w:t>
            </w:r>
            <w:r>
              <w:rPr>
                <w:kern w:val="0"/>
                <w:szCs w:val="21"/>
              </w:rPr>
              <w:t>固体液体不</w:t>
            </w:r>
            <w:r>
              <w:rPr>
                <w:rFonts w:hint="eastAsia"/>
                <w:kern w:val="0"/>
                <w:szCs w:val="21"/>
              </w:rPr>
              <w:t>混</w:t>
            </w:r>
            <w:r>
              <w:rPr>
                <w:kern w:val="0"/>
                <w:szCs w:val="21"/>
              </w:rPr>
              <w:t>乱放</w:t>
            </w:r>
            <w:r>
              <w:rPr>
                <w:rFonts w:hint="eastAsia"/>
                <w:kern w:val="0"/>
                <w:szCs w:val="21"/>
              </w:rPr>
              <w:t>置、装有</w:t>
            </w:r>
            <w:r>
              <w:rPr>
                <w:kern w:val="0"/>
                <w:szCs w:val="21"/>
              </w:rPr>
              <w:t>试剂的试剂</w:t>
            </w:r>
            <w:r>
              <w:rPr>
                <w:rFonts w:hint="eastAsia"/>
                <w:kern w:val="0"/>
                <w:szCs w:val="21"/>
              </w:rPr>
              <w:t>瓶不得</w:t>
            </w:r>
            <w:r>
              <w:rPr>
                <w:kern w:val="0"/>
                <w:szCs w:val="21"/>
              </w:rPr>
              <w:t>开口放置</w:t>
            </w:r>
            <w:r>
              <w:rPr>
                <w:rFonts w:hint="eastAsia"/>
                <w:kern w:val="0"/>
                <w:szCs w:val="21"/>
              </w:rPr>
              <w:t>；</w:t>
            </w:r>
            <w:r>
              <w:rPr>
                <w:kern w:val="0"/>
                <w:szCs w:val="21"/>
              </w:rPr>
              <w:t>实验台架无挡板不得存放化学试剂</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看储存</w:t>
            </w:r>
            <w:r>
              <w:rPr>
                <w:rFonts w:hint="eastAsia"/>
                <w:bCs/>
                <w:kern w:val="0"/>
                <w:szCs w:val="21"/>
              </w:rPr>
              <w:t>柜、冰箱、实验</w:t>
            </w:r>
            <w:r>
              <w:rPr>
                <w:bCs/>
                <w:kern w:val="0"/>
                <w:szCs w:val="21"/>
              </w:rPr>
              <w:t>台</w:t>
            </w:r>
            <w:r>
              <w:rPr>
                <w:rFonts w:hint="eastAsia"/>
                <w:bCs/>
                <w:kern w:val="0"/>
                <w:szCs w:val="21"/>
              </w:rPr>
              <w:t>等，</w:t>
            </w:r>
            <w:r>
              <w:rPr>
                <w:kern w:val="0"/>
                <w:szCs w:val="21"/>
              </w:rPr>
              <w:t>柜子门上</w:t>
            </w:r>
            <w:r>
              <w:rPr>
                <w:rFonts w:hint="eastAsia"/>
                <w:kern w:val="0"/>
                <w:szCs w:val="21"/>
              </w:rPr>
              <w:t>或</w:t>
            </w:r>
            <w:r>
              <w:rPr>
                <w:kern w:val="0"/>
                <w:szCs w:val="21"/>
              </w:rPr>
              <w:t>墙上粘贴清单</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8.2.4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实验室内存放的危险化学品总量原</w:t>
            </w:r>
            <w:r>
              <w:rPr>
                <w:kern w:val="0"/>
                <w:szCs w:val="21"/>
              </w:rPr>
              <w:t>则上</w:t>
            </w:r>
            <w:r>
              <w:rPr>
                <w:rFonts w:hint="eastAsia"/>
                <w:kern w:val="0"/>
                <w:szCs w:val="21"/>
              </w:rPr>
              <w:t>不应超过100L或100kg，其中易燃易爆性化学品的存放总量不应超过50L 或50kg，且单一包装容器不应大于20L或20kg</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看现场</w:t>
            </w:r>
            <w:r>
              <w:rPr>
                <w:rFonts w:hint="eastAsia"/>
                <w:bCs/>
                <w:kern w:val="0"/>
                <w:szCs w:val="21"/>
              </w:rPr>
              <w:t>，按</w:t>
            </w:r>
            <w:r>
              <w:rPr>
                <w:kern w:val="0"/>
                <w:szCs w:val="21"/>
              </w:rPr>
              <w:t>50</w:t>
            </w:r>
            <w:r>
              <w:rPr>
                <w:rFonts w:hint="eastAsia"/>
                <w:kern w:val="0"/>
                <w:szCs w:val="21"/>
              </w:rPr>
              <w:t>平</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8.2.5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如单个实验装置存在10L以上甲类物质储罐，或20L以上乙类物质储罐，或50L以上丙类物质储罐，需加装泄露报警器及通风联动装置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看现场</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8.2.6</w:t>
            </w:r>
          </w:p>
        </w:tc>
        <w:tc>
          <w:tcPr>
            <w:tcW w:w="5810" w:type="dxa"/>
            <w:shd w:val="clear" w:color="auto" w:fill="auto"/>
            <w:tcMar>
              <w:left w:w="45" w:type="dxa"/>
              <w:right w:w="45" w:type="dxa"/>
            </w:tcMar>
            <w:vAlign w:val="center"/>
          </w:tcPr>
          <w:p>
            <w:pPr>
              <w:autoSpaceDE w:val="0"/>
              <w:autoSpaceDN w:val="0"/>
              <w:adjustRightInd w:val="0"/>
              <w:spacing w:line="300" w:lineRule="exact"/>
              <w:jc w:val="left"/>
              <w:rPr>
                <w:rFonts w:ascii="宋体" w:hAnsi="ºÚÌå" w:cs="宋体"/>
                <w:kern w:val="0"/>
                <w:szCs w:val="21"/>
              </w:rPr>
            </w:pPr>
            <w:r>
              <w:rPr>
                <w:rFonts w:hint="eastAsia" w:ascii="宋体" w:hAnsi="ºÚÌå" w:cs="宋体"/>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hint="eastAsia" w:ascii="宋体" w:hAnsi="ºÚÌå" w:cs="宋体"/>
                <w:kern w:val="0"/>
                <w:szCs w:val="21"/>
              </w:rPr>
              <w:t>后应及时补上，如不能确认，则以废弃化学品处置</w:t>
            </w:r>
          </w:p>
        </w:tc>
        <w:tc>
          <w:tcPr>
            <w:tcW w:w="3260" w:type="dxa"/>
            <w:shd w:val="clear" w:color="auto" w:fill="auto"/>
            <w:tcMar>
              <w:left w:w="45" w:type="dxa"/>
              <w:right w:w="45" w:type="dxa"/>
            </w:tcMar>
            <w:vAlign w:val="center"/>
          </w:tcPr>
          <w:p>
            <w:pPr>
              <w:widowControl/>
              <w:spacing w:line="300" w:lineRule="exact"/>
              <w:jc w:val="left"/>
              <w:rPr>
                <w:bCs/>
                <w:strike/>
                <w:kern w:val="0"/>
                <w:szCs w:val="21"/>
              </w:rPr>
            </w:pPr>
            <w:r>
              <w:rPr>
                <w:rFonts w:hint="eastAsia"/>
                <w:bCs/>
                <w:kern w:val="0"/>
                <w:szCs w:val="21"/>
              </w:rPr>
              <w:t>查</w:t>
            </w:r>
            <w:r>
              <w:rPr>
                <w:bCs/>
                <w:kern w:val="0"/>
                <w:szCs w:val="21"/>
              </w:rPr>
              <w:t>看</w:t>
            </w:r>
            <w:r>
              <w:rPr>
                <w:rFonts w:hint="eastAsia"/>
                <w:bCs/>
                <w:kern w:val="0"/>
                <w:szCs w:val="21"/>
              </w:rPr>
              <w:t>实验</w:t>
            </w:r>
            <w:r>
              <w:rPr>
                <w:bCs/>
                <w:kern w:val="0"/>
                <w:szCs w:val="21"/>
              </w:rPr>
              <w:t>台</w:t>
            </w:r>
            <w:r>
              <w:rPr>
                <w:rFonts w:hint="eastAsia"/>
                <w:bCs/>
                <w:kern w:val="0"/>
                <w:szCs w:val="21"/>
              </w:rPr>
              <w:t>、存</w:t>
            </w:r>
            <w:r>
              <w:rPr>
                <w:bCs/>
                <w:kern w:val="0"/>
                <w:szCs w:val="21"/>
              </w:rPr>
              <w:t>储柜</w:t>
            </w:r>
            <w:r>
              <w:rPr>
                <w:rFonts w:hint="eastAsia"/>
                <w:bCs/>
                <w:kern w:val="0"/>
                <w:szCs w:val="21"/>
              </w:rPr>
              <w:t>、冰</w:t>
            </w:r>
            <w:r>
              <w:rPr>
                <w:bCs/>
                <w:kern w:val="0"/>
                <w:szCs w:val="21"/>
              </w:rPr>
              <w:t>箱等</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8.2.7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定期清理过期药品，无累积</w:t>
            </w:r>
            <w:r>
              <w:rPr>
                <w:rFonts w:hint="eastAsia"/>
                <w:kern w:val="0"/>
                <w:szCs w:val="21"/>
              </w:rPr>
              <w:t>现象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查看台账与</w:t>
            </w:r>
            <w:r>
              <w:rPr>
                <w:bCs/>
                <w:kern w:val="0"/>
                <w:szCs w:val="21"/>
              </w:rPr>
              <w:t>现场</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rFonts w:hint="default" w:eastAsia="宋体"/>
                <w:bCs/>
                <w:kern w:val="0"/>
                <w:szCs w:val="21"/>
                <w:lang w:val="en-US" w:eastAsia="zh-CN"/>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default" w:eastAsia="宋体"/>
                <w:bCs/>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8.3</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8.3.1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设计化学实验</w:t>
            </w:r>
            <w:r>
              <w:rPr>
                <w:kern w:val="0"/>
                <w:szCs w:val="21"/>
              </w:rPr>
              <w:t>时</w:t>
            </w:r>
            <w:r>
              <w:rPr>
                <w:rFonts w:hint="eastAsia"/>
                <w:kern w:val="0"/>
                <w:szCs w:val="21"/>
              </w:rPr>
              <w:t>，</w:t>
            </w:r>
            <w:r>
              <w:rPr>
                <w:kern w:val="0"/>
                <w:szCs w:val="21"/>
              </w:rPr>
              <w:t>使用</w:t>
            </w:r>
            <w:r>
              <w:rPr>
                <w:rFonts w:hint="eastAsia"/>
                <w:kern w:val="0"/>
                <w:szCs w:val="21"/>
              </w:rPr>
              <w:t>化学品</w:t>
            </w:r>
            <w:r>
              <w:rPr>
                <w:kern w:val="0"/>
                <w:szCs w:val="21"/>
              </w:rPr>
              <w:t>应</w:t>
            </w:r>
            <w:r>
              <w:rPr>
                <w:rFonts w:hint="eastAsia"/>
                <w:kern w:val="0"/>
                <w:szCs w:val="21"/>
              </w:rPr>
              <w:t>尽可能取向</w:t>
            </w:r>
            <w:r>
              <w:rPr>
                <w:kern w:val="0"/>
                <w:szCs w:val="21"/>
              </w:rPr>
              <w:t>低毒、少量</w:t>
            </w:r>
            <w:r>
              <w:rPr>
                <w:rFonts w:hint="eastAsia"/>
                <w:kern w:val="0"/>
                <w:szCs w:val="21"/>
              </w:rPr>
              <w:t>；强</w:t>
            </w:r>
            <w:r>
              <w:rPr>
                <w:kern w:val="0"/>
                <w:szCs w:val="21"/>
              </w:rPr>
              <w:t>放热反应</w:t>
            </w:r>
            <w:r>
              <w:rPr>
                <w:rFonts w:hint="eastAsia"/>
                <w:kern w:val="0"/>
                <w:szCs w:val="21"/>
              </w:rPr>
              <w:t>要从小规模开始，确认安全才能放大</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实验记录、询问</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8.3.2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w:t>
            </w:r>
            <w:r>
              <w:rPr>
                <w:kern w:val="0"/>
                <w:szCs w:val="21"/>
              </w:rPr>
              <w:t>，上墙或便于取阅</w:t>
            </w:r>
            <w:r>
              <w:rPr>
                <w:rFonts w:hint="eastAsia"/>
                <w:kern w:val="0"/>
                <w:szCs w:val="21"/>
              </w:rPr>
              <w:t>；按照</w:t>
            </w:r>
            <w:r>
              <w:rPr>
                <w:kern w:val="0"/>
                <w:szCs w:val="21"/>
              </w:rPr>
              <w:t>指导书进行实验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是否有作业指导书</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8.3.3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建立针</w:t>
            </w:r>
            <w:r>
              <w:rPr>
                <w:kern w:val="0"/>
                <w:szCs w:val="21"/>
              </w:rPr>
              <w:t>对特殊危险实验</w:t>
            </w:r>
            <w:r>
              <w:rPr>
                <w:rFonts w:hint="eastAsia"/>
                <w:kern w:val="0"/>
                <w:szCs w:val="21"/>
              </w:rPr>
              <w:t>的</w:t>
            </w:r>
            <w:r>
              <w:rPr>
                <w:kern w:val="0"/>
                <w:szCs w:val="21"/>
              </w:rPr>
              <w:t>应急预案</w:t>
            </w:r>
            <w:r>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现场查看</w:t>
            </w:r>
            <w:r>
              <w:rPr>
                <w:kern w:val="0"/>
                <w:szCs w:val="21"/>
              </w:rPr>
              <w:t>、</w:t>
            </w:r>
            <w:r>
              <w:rPr>
                <w:rFonts w:hint="eastAsia"/>
                <w:kern w:val="0"/>
                <w:szCs w:val="21"/>
              </w:rPr>
              <w:t>询问</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8.3.4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控制</w:t>
            </w:r>
            <w:r>
              <w:rPr>
                <w:kern w:val="0"/>
                <w:szCs w:val="21"/>
              </w:rPr>
              <w:t>系统工作正常</w:t>
            </w:r>
          </w:p>
        </w:tc>
        <w:tc>
          <w:tcPr>
            <w:tcW w:w="599" w:type="dxa"/>
            <w:tcMar>
              <w:left w:w="45" w:type="dxa"/>
              <w:right w:w="45" w:type="dxa"/>
            </w:tcMar>
            <w:vAlign w:val="center"/>
          </w:tcPr>
          <w:p>
            <w:pPr>
              <w:widowControl/>
              <w:spacing w:line="300" w:lineRule="exact"/>
              <w:jc w:val="center"/>
              <w:rPr>
                <w:rFonts w:hint="eastAsia" w:eastAsia="宋体"/>
                <w:kern w:val="0"/>
                <w:szCs w:val="21"/>
                <w:lang w:val="en-US" w:eastAsia="zh-CN"/>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8.3.5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对于产生有毒和异味废气的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注意呼吸器</w:t>
            </w:r>
            <w:r>
              <w:rPr>
                <w:rFonts w:hint="eastAsia"/>
                <w:bCs/>
                <w:kern w:val="0"/>
                <w:szCs w:val="21"/>
              </w:rPr>
              <w:t>是否</w:t>
            </w:r>
            <w:r>
              <w:rPr>
                <w:bCs/>
                <w:kern w:val="0"/>
                <w:szCs w:val="21"/>
              </w:rPr>
              <w:t>失效（</w:t>
            </w:r>
            <w:r>
              <w:rPr>
                <w:rFonts w:hint="eastAsia"/>
                <w:bCs/>
                <w:kern w:val="0"/>
                <w:szCs w:val="21"/>
              </w:rPr>
              <w:t>不用</w:t>
            </w:r>
            <w:r>
              <w:rPr>
                <w:bCs/>
                <w:kern w:val="0"/>
                <w:szCs w:val="21"/>
              </w:rPr>
              <w:t>时需密封</w:t>
            </w:r>
            <w:r>
              <w:rPr>
                <w:rFonts w:hint="eastAsia"/>
                <w:bCs/>
                <w:kern w:val="0"/>
                <w:szCs w:val="21"/>
              </w:rPr>
              <w:t>保存</w:t>
            </w:r>
            <w:r>
              <w:rPr>
                <w:bCs/>
                <w:kern w:val="0"/>
                <w:szCs w:val="21"/>
              </w:rPr>
              <w:t>）</w:t>
            </w:r>
          </w:p>
        </w:tc>
        <w:tc>
          <w:tcPr>
            <w:tcW w:w="599" w:type="dxa"/>
            <w:tcMar>
              <w:left w:w="45" w:type="dxa"/>
              <w:right w:w="45" w:type="dxa"/>
            </w:tcMar>
            <w:vAlign w:val="center"/>
          </w:tcPr>
          <w:p>
            <w:pPr>
              <w:widowControl/>
              <w:spacing w:line="300" w:lineRule="exact"/>
              <w:jc w:val="center"/>
              <w:rPr>
                <w:rFonts w:hint="eastAsia" w:eastAsia="宋体"/>
                <w:kern w:val="0"/>
                <w:szCs w:val="21"/>
                <w:lang w:val="en-US" w:eastAsia="zh-CN"/>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8.3.6</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从</w:t>
            </w:r>
            <w:r>
              <w:rPr>
                <w:kern w:val="0"/>
                <w:szCs w:val="21"/>
              </w:rPr>
              <w:t>试剂瓶倾倒</w:t>
            </w:r>
            <w:r>
              <w:rPr>
                <w:rFonts w:hint="eastAsia"/>
                <w:kern w:val="0"/>
                <w:szCs w:val="21"/>
              </w:rPr>
              <w:t>腐蚀</w:t>
            </w:r>
            <w:r>
              <w:rPr>
                <w:kern w:val="0"/>
                <w:szCs w:val="21"/>
              </w:rPr>
              <w:t>性</w:t>
            </w:r>
            <w:r>
              <w:rPr>
                <w:rFonts w:hint="eastAsia"/>
                <w:kern w:val="0"/>
                <w:szCs w:val="21"/>
              </w:rPr>
              <w:t>液体</w:t>
            </w:r>
            <w:r>
              <w:rPr>
                <w:kern w:val="0"/>
                <w:szCs w:val="21"/>
              </w:rPr>
              <w:t>试剂后，瓶上</w:t>
            </w:r>
            <w:r>
              <w:rPr>
                <w:rFonts w:hint="eastAsia"/>
                <w:kern w:val="0"/>
                <w:szCs w:val="21"/>
              </w:rPr>
              <w:t>无</w:t>
            </w:r>
            <w:r>
              <w:rPr>
                <w:kern w:val="0"/>
                <w:szCs w:val="21"/>
              </w:rPr>
              <w:t>残液</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关注腐蚀性</w:t>
            </w:r>
            <w:r>
              <w:rPr>
                <w:bCs/>
                <w:kern w:val="0"/>
                <w:szCs w:val="21"/>
              </w:rPr>
              <w:t>液体</w:t>
            </w:r>
          </w:p>
        </w:tc>
        <w:tc>
          <w:tcPr>
            <w:tcW w:w="599" w:type="dxa"/>
            <w:tcMar>
              <w:left w:w="45" w:type="dxa"/>
              <w:right w:w="45" w:type="dxa"/>
            </w:tcMar>
            <w:vAlign w:val="center"/>
          </w:tcPr>
          <w:p>
            <w:pPr>
              <w:widowControl/>
              <w:spacing w:line="300" w:lineRule="exact"/>
              <w:jc w:val="both"/>
              <w:rPr>
                <w:rFonts w:hint="default"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8.4</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剧毒品管理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8.4.1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配备专门的保险柜并固定，实行双人双锁保管</w:t>
            </w:r>
            <w:r>
              <w:rPr>
                <w:rFonts w:hint="eastAsia"/>
                <w:kern w:val="0"/>
                <w:szCs w:val="21"/>
              </w:rPr>
              <w:t>；</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查看储存</w:t>
            </w:r>
            <w:r>
              <w:rPr>
                <w:bCs/>
                <w:kern w:val="0"/>
                <w:szCs w:val="21"/>
              </w:rPr>
              <w:t>场所、记录本</w:t>
            </w:r>
            <w:r>
              <w:rPr>
                <w:rFonts w:hint="eastAsia"/>
                <w:bCs/>
                <w:kern w:val="0"/>
                <w:szCs w:val="21"/>
              </w:rPr>
              <w:t>。</w:t>
            </w:r>
            <w:r>
              <w:rPr>
                <w:kern w:val="0"/>
                <w:szCs w:val="21"/>
              </w:rPr>
              <w:t>2名分别掌管了钥匙和密码的保管人同时到场时才能开启保险柜</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eastAsia" w:eastAsia="宋体"/>
                <w:bCs/>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8.4.2</w:t>
            </w:r>
          </w:p>
        </w:tc>
        <w:tc>
          <w:tcPr>
            <w:tcW w:w="5810" w:type="dxa"/>
            <w:shd w:val="clear" w:color="auto" w:fill="auto"/>
            <w:tcMar>
              <w:left w:w="45" w:type="dxa"/>
              <w:right w:w="45" w:type="dxa"/>
            </w:tcMar>
            <w:vAlign w:val="center"/>
          </w:tcPr>
          <w:p>
            <w:pPr>
              <w:autoSpaceDE w:val="0"/>
              <w:autoSpaceDN w:val="0"/>
              <w:adjustRightInd w:val="0"/>
              <w:spacing w:line="300" w:lineRule="exact"/>
              <w:jc w:val="left"/>
              <w:rPr>
                <w:kern w:val="0"/>
                <w:szCs w:val="21"/>
              </w:rPr>
            </w:pPr>
            <w:r>
              <w:rPr>
                <w:kern w:val="0"/>
                <w:szCs w:val="21"/>
              </w:rPr>
              <w:t>执行双人收发、双人运输</w:t>
            </w:r>
            <w:r>
              <w:rPr>
                <w:rFonts w:hint="eastAsia"/>
                <w:kern w:val="0"/>
                <w:szCs w:val="21"/>
              </w:rPr>
              <w:t>；</w:t>
            </w:r>
            <w:r>
              <w:rPr>
                <w:rFonts w:hint="eastAsia" w:ascii="宋体" w:cs="宋体"/>
                <w:kern w:val="0"/>
                <w:szCs w:val="21"/>
              </w:rPr>
              <w:t>应</w:t>
            </w:r>
            <w:r>
              <w:rPr>
                <w:rFonts w:hint="eastAsia"/>
                <w:kern w:val="0"/>
                <w:szCs w:val="21"/>
              </w:rPr>
              <w:t>严格</w:t>
            </w:r>
            <w:r>
              <w:rPr>
                <w:kern w:val="0"/>
                <w:szCs w:val="21"/>
              </w:rPr>
              <w:t>记录</w:t>
            </w:r>
            <w:r>
              <w:rPr>
                <w:rFonts w:hint="eastAsia" w:ascii="宋体" w:cs="宋体"/>
                <w:kern w:val="0"/>
                <w:szCs w:val="21"/>
              </w:rPr>
              <w:t>品种、规格以</w:t>
            </w:r>
            <w:r>
              <w:rPr>
                <w:rFonts w:ascii="宋体" w:cs="宋体"/>
                <w:kern w:val="0"/>
                <w:szCs w:val="21"/>
              </w:rPr>
              <w:t>及</w:t>
            </w:r>
            <w:r>
              <w:rPr>
                <w:rFonts w:hint="eastAsia" w:ascii="宋体" w:cs="宋体"/>
                <w:kern w:val="0"/>
                <w:szCs w:val="21"/>
              </w:rPr>
              <w:t>购入、发放、退回的日期、单位及经手人、数量以及结存数量</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本，</w:t>
            </w:r>
            <w:r>
              <w:rPr>
                <w:bCs/>
                <w:kern w:val="0"/>
                <w:szCs w:val="21"/>
              </w:rPr>
              <w:t>职能部门提供年度清单</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eastAsia" w:eastAsia="宋体"/>
                <w:bCs/>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8.4.3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使用时有两人同时在场，且计量取用后立即放回保险柜，</w:t>
            </w:r>
            <w:r>
              <w:rPr>
                <w:rFonts w:hint="eastAsia" w:ascii="宋体" w:cs="宋体"/>
                <w:kern w:val="0"/>
                <w:szCs w:val="21"/>
              </w:rPr>
              <w:t>详细记载用途，</w:t>
            </w:r>
            <w:r>
              <w:rPr>
                <w:kern w:val="0"/>
                <w:szCs w:val="21"/>
              </w:rPr>
              <w:t>双人签字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查看实验</w:t>
            </w:r>
            <w:r>
              <w:rPr>
                <w:bCs/>
                <w:kern w:val="0"/>
                <w:szCs w:val="21"/>
              </w:rPr>
              <w:t>记录</w:t>
            </w:r>
            <w:r>
              <w:rPr>
                <w:rFonts w:hint="eastAsia"/>
                <w:bCs/>
                <w:kern w:val="0"/>
                <w:szCs w:val="21"/>
              </w:rPr>
              <w:t>、</w:t>
            </w:r>
            <w:r>
              <w:rPr>
                <w:bCs/>
                <w:kern w:val="0"/>
                <w:szCs w:val="21"/>
              </w:rPr>
              <w:t>领用记录本</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eastAsia" w:eastAsia="宋体"/>
                <w:bCs/>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8.4.4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建立</w:t>
            </w:r>
            <w:r>
              <w:rPr>
                <w:kern w:val="0"/>
                <w:szCs w:val="21"/>
              </w:rPr>
              <w:t>规范的剧毒品处置</w:t>
            </w:r>
            <w:r>
              <w:rPr>
                <w:rFonts w:hint="eastAsia"/>
                <w:kern w:val="0"/>
                <w:szCs w:val="21"/>
              </w:rPr>
              <w:t>流</w:t>
            </w:r>
            <w:r>
              <w:rPr>
                <w:kern w:val="0"/>
                <w:szCs w:val="21"/>
              </w:rPr>
              <w:t>程，</w:t>
            </w:r>
            <w:r>
              <w:rPr>
                <w:rFonts w:hint="eastAsia"/>
                <w:kern w:val="0"/>
                <w:szCs w:val="21"/>
              </w:rPr>
              <w:t>依规</w:t>
            </w:r>
            <w:r>
              <w:rPr>
                <w:kern w:val="0"/>
                <w:szCs w:val="21"/>
              </w:rPr>
              <w:t>对残余、废弃的剧毒品或空瓶进行处置</w:t>
            </w:r>
            <w:r>
              <w:rPr>
                <w:rFonts w:hint="eastAsia"/>
                <w:kern w:val="0"/>
                <w:szCs w:val="21"/>
              </w:rPr>
              <w:t>，</w:t>
            </w:r>
            <w:r>
              <w:rPr>
                <w:kern w:val="0"/>
                <w:szCs w:val="21"/>
              </w:rPr>
              <w:t>双人签字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记录本，</w:t>
            </w:r>
            <w:r>
              <w:rPr>
                <w:rFonts w:hint="eastAsia"/>
                <w:bCs/>
                <w:kern w:val="0"/>
                <w:szCs w:val="21"/>
              </w:rPr>
              <w:t>由</w:t>
            </w:r>
            <w:r>
              <w:rPr>
                <w:bCs/>
                <w:kern w:val="0"/>
                <w:szCs w:val="21"/>
              </w:rPr>
              <w:t>学校统一处置</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eastAsia" w:eastAsia="宋体"/>
                <w:bCs/>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8.5</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其它管控</w:t>
            </w:r>
            <w:r>
              <w:rPr>
                <w:rFonts w:hint="eastAsia"/>
                <w:b/>
                <w:kern w:val="0"/>
                <w:szCs w:val="21"/>
              </w:rPr>
              <w:t>化学</w:t>
            </w:r>
            <w:r>
              <w:rPr>
                <w:b/>
                <w:kern w:val="0"/>
                <w:szCs w:val="21"/>
              </w:rPr>
              <w:t>品的管理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8.6</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8.6.1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8.6.2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钢瓶不</w:t>
            </w:r>
            <w:r>
              <w:rPr>
                <w:bCs/>
                <w:kern w:val="0"/>
                <w:szCs w:val="21"/>
              </w:rPr>
              <w:t>固定、有链子不用</w:t>
            </w:r>
            <w:r>
              <w:rPr>
                <w:rFonts w:hint="eastAsia"/>
                <w:bCs/>
                <w:kern w:val="0"/>
                <w:szCs w:val="21"/>
              </w:rPr>
              <w:t>、</w:t>
            </w:r>
            <w:r>
              <w:rPr>
                <w:bCs/>
                <w:kern w:val="0"/>
                <w:szCs w:val="21"/>
              </w:rPr>
              <w:t>用普通绳子当链子</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8.6.3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涉及剧毒、易燃易爆气体的场所，配有通风设施和合适的监控报警装置等</w:t>
            </w:r>
            <w:r>
              <w:rPr>
                <w:rFonts w:hint="eastAsia"/>
                <w:kern w:val="0"/>
                <w:szCs w:val="21"/>
              </w:rPr>
              <w:t>，</w:t>
            </w:r>
            <w:r>
              <w:rPr>
                <w:kern w:val="0"/>
                <w:szCs w:val="21"/>
              </w:rPr>
              <w:t>张贴必要的安全警示标识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气体监控</w:t>
            </w:r>
            <w:r>
              <w:rPr>
                <w:bCs/>
                <w:kern w:val="0"/>
                <w:szCs w:val="21"/>
              </w:rPr>
              <w:t>报警装置</w:t>
            </w:r>
            <w:r>
              <w:rPr>
                <w:rFonts w:hint="eastAsia"/>
                <w:bCs/>
                <w:kern w:val="0"/>
                <w:szCs w:val="21"/>
              </w:rPr>
              <w:t>品种及</w:t>
            </w:r>
            <w:r>
              <w:rPr>
                <w:bCs/>
                <w:kern w:val="0"/>
                <w:szCs w:val="21"/>
              </w:rPr>
              <w:t>安装位置是否正确</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8.6.4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存有</w:t>
            </w:r>
            <w:r>
              <w:rPr>
                <w:szCs w:val="21"/>
              </w:rPr>
              <w:t>大量惰性气体或</w:t>
            </w:r>
            <w:r>
              <w:rPr>
                <w:rFonts w:hint="eastAsia"/>
                <w:szCs w:val="21"/>
              </w:rPr>
              <w:t>液氮</w:t>
            </w:r>
            <w:r>
              <w:rPr>
                <w:szCs w:val="21"/>
              </w:rPr>
              <w:t>、CO</w:t>
            </w:r>
            <w:r>
              <w:rPr>
                <w:szCs w:val="21"/>
                <w:vertAlign w:val="subscript"/>
              </w:rPr>
              <w:t>2</w:t>
            </w:r>
            <w:r>
              <w:rPr>
                <w:rFonts w:hint="eastAsia"/>
                <w:szCs w:val="21"/>
              </w:rPr>
              <w:t>的较小密闭</w:t>
            </w:r>
            <w:r>
              <w:rPr>
                <w:szCs w:val="21"/>
              </w:rPr>
              <w:t>空间</w:t>
            </w:r>
            <w:r>
              <w:rPr>
                <w:rFonts w:hint="eastAsia"/>
                <w:szCs w:val="21"/>
              </w:rPr>
              <w:t>，</w:t>
            </w:r>
            <w:r>
              <w:rPr>
                <w:szCs w:val="21"/>
              </w:rPr>
              <w:t>需加装氧气含量报警</w:t>
            </w:r>
            <w:r>
              <w:rPr>
                <w:rFonts w:hint="eastAsia"/>
                <w:szCs w:val="21"/>
              </w:rPr>
              <w:t>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防止</w:t>
            </w:r>
            <w:r>
              <w:rPr>
                <w:bCs/>
                <w:kern w:val="0"/>
                <w:szCs w:val="21"/>
              </w:rPr>
              <w:t>大量泄漏或蒸发导致缺氧</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8.6.5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独立的气体钢瓶室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有编号</w:t>
            </w:r>
            <w:r>
              <w:rPr>
                <w:rFonts w:hint="eastAsia"/>
                <w:kern w:val="0"/>
                <w:szCs w:val="21"/>
              </w:rPr>
              <w:t>、</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8.6.6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所有</w:t>
            </w:r>
            <w:r>
              <w:rPr>
                <w:kern w:val="0"/>
                <w:szCs w:val="21"/>
              </w:rPr>
              <w:t>钢瓶颜色和字体清楚，有</w:t>
            </w:r>
            <w:r>
              <w:rPr>
                <w:rFonts w:hint="eastAsia"/>
                <w:kern w:val="0"/>
                <w:szCs w:val="21"/>
              </w:rPr>
              <w:t>状态</w:t>
            </w:r>
            <w:r>
              <w:rPr>
                <w:kern w:val="0"/>
                <w:szCs w:val="21"/>
              </w:rPr>
              <w:t>标识</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钢瓶</w:t>
            </w:r>
            <w:r>
              <w:rPr>
                <w:bCs/>
                <w:kern w:val="0"/>
                <w:szCs w:val="21"/>
              </w:rPr>
              <w:t>中的气体是明确的，</w:t>
            </w:r>
            <w:r>
              <w:rPr>
                <w:rFonts w:hint="eastAsia"/>
                <w:bCs/>
                <w:kern w:val="0"/>
                <w:szCs w:val="21"/>
              </w:rPr>
              <w:t>无</w:t>
            </w:r>
            <w:r>
              <w:rPr>
                <w:bCs/>
                <w:kern w:val="0"/>
                <w:szCs w:val="21"/>
              </w:rPr>
              <w:t>过期钢瓶</w:t>
            </w:r>
            <w:r>
              <w:rPr>
                <w:rFonts w:hint="eastAsia"/>
                <w:bCs/>
                <w:kern w:val="0"/>
                <w:szCs w:val="21"/>
              </w:rPr>
              <w:t>；确认</w:t>
            </w:r>
            <w:r>
              <w:rPr>
                <w:rFonts w:ascii="MS Mincho" w:hAnsi="MS Mincho" w:eastAsia="MS Mincho"/>
                <w:bCs/>
                <w:kern w:val="0"/>
                <w:szCs w:val="21"/>
              </w:rPr>
              <w:t>“</w:t>
            </w:r>
            <w:r>
              <w:rPr>
                <w:bCs/>
                <w:kern w:val="0"/>
                <w:szCs w:val="21"/>
              </w:rPr>
              <w:t>满、使用中、用完</w:t>
            </w:r>
            <w:r>
              <w:rPr>
                <w:rFonts w:ascii="MS Mincho" w:hAnsi="MS Mincho" w:eastAsia="MS Mincho"/>
                <w:bCs/>
                <w:kern w:val="0"/>
                <w:szCs w:val="21"/>
              </w:rPr>
              <w:t>”</w:t>
            </w:r>
            <w:r>
              <w:rPr>
                <w:bCs/>
                <w:kern w:val="0"/>
                <w:szCs w:val="21"/>
              </w:rPr>
              <w:t>三种状态</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8.6.7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可燃性气体与氧气等助燃气体不混放</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8.6.8</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气体管路连接正确、有标识，管路材质选择合适，无破损或老化现象</w:t>
            </w:r>
            <w:r>
              <w:rPr>
                <w:rFonts w:hint="eastAsia"/>
                <w:kern w:val="0"/>
                <w:szCs w:val="21"/>
              </w:rPr>
              <w:t>，定</w:t>
            </w:r>
            <w:r>
              <w:rPr>
                <w:kern w:val="0"/>
                <w:szCs w:val="21"/>
              </w:rPr>
              <w:t>期进行</w:t>
            </w:r>
            <w:r>
              <w:rPr>
                <w:rFonts w:hint="eastAsia"/>
                <w:kern w:val="0"/>
                <w:szCs w:val="21"/>
              </w:rPr>
              <w:t>气</w:t>
            </w:r>
            <w:r>
              <w:rPr>
                <w:kern w:val="0"/>
                <w:szCs w:val="21"/>
              </w:rPr>
              <w:t>体泄</w:t>
            </w:r>
            <w:r>
              <w:rPr>
                <w:rFonts w:hint="eastAsia"/>
                <w:kern w:val="0"/>
                <w:szCs w:val="21"/>
              </w:rPr>
              <w:t>漏</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危险气体使用金属管</w:t>
            </w:r>
            <w:r>
              <w:rPr>
                <w:rFonts w:hint="eastAsia"/>
                <w:bCs/>
                <w:kern w:val="0"/>
                <w:szCs w:val="21"/>
              </w:rPr>
              <w:t>；</w:t>
            </w:r>
            <w:r>
              <w:rPr>
                <w:bCs/>
                <w:kern w:val="0"/>
                <w:szCs w:val="21"/>
              </w:rPr>
              <w:t>多用户使用</w:t>
            </w:r>
            <w:r>
              <w:rPr>
                <w:rFonts w:hint="eastAsia"/>
                <w:bCs/>
                <w:kern w:val="0"/>
                <w:szCs w:val="21"/>
              </w:rPr>
              <w:t>同一</w:t>
            </w:r>
            <w:r>
              <w:rPr>
                <w:bCs/>
                <w:kern w:val="0"/>
                <w:szCs w:val="21"/>
              </w:rPr>
              <w:t>钢瓶的</w:t>
            </w:r>
            <w:r>
              <w:rPr>
                <w:rFonts w:hint="eastAsia"/>
                <w:bCs/>
                <w:kern w:val="0"/>
                <w:szCs w:val="21"/>
              </w:rPr>
              <w:t>，</w:t>
            </w:r>
            <w:r>
              <w:rPr>
                <w:bCs/>
                <w:kern w:val="0"/>
                <w:szCs w:val="21"/>
              </w:rPr>
              <w:t>需有使用规则</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8.6.9</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实验结束后，气体钢瓶总阀</w:t>
            </w:r>
            <w:r>
              <w:rPr>
                <w:rFonts w:hint="eastAsia"/>
                <w:kern w:val="0"/>
                <w:szCs w:val="21"/>
              </w:rPr>
              <w:t>须</w:t>
            </w:r>
            <w:r>
              <w:rPr>
                <w:kern w:val="0"/>
                <w:szCs w:val="21"/>
              </w:rPr>
              <w:t>关闭</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8.6.10</w:t>
            </w:r>
          </w:p>
        </w:tc>
        <w:tc>
          <w:tcPr>
            <w:tcW w:w="5810" w:type="dxa"/>
            <w:shd w:val="clear" w:color="auto" w:fill="auto"/>
            <w:tcMar>
              <w:left w:w="45" w:type="dxa"/>
              <w:right w:w="45" w:type="dxa"/>
            </w:tcMar>
            <w:vAlign w:val="center"/>
          </w:tcPr>
          <w:p>
            <w:pPr>
              <w:autoSpaceDE w:val="0"/>
              <w:autoSpaceDN w:val="0"/>
              <w:adjustRightInd w:val="0"/>
              <w:spacing w:line="300" w:lineRule="exact"/>
              <w:jc w:val="left"/>
              <w:rPr>
                <w:kern w:val="0"/>
                <w:szCs w:val="21"/>
              </w:rPr>
            </w:pPr>
            <w:r>
              <w:rPr>
                <w:kern w:val="0"/>
                <w:szCs w:val="21"/>
              </w:rPr>
              <w:t>无大量气体钢瓶堆放现象</w:t>
            </w:r>
            <w:r>
              <w:rPr>
                <w:rFonts w:hint="eastAsia"/>
                <w:kern w:val="0"/>
                <w:szCs w:val="21"/>
              </w:rPr>
              <w:t>；</w:t>
            </w:r>
            <w:r>
              <w:rPr>
                <w:rFonts w:hint="eastAsia" w:ascii="宋体" w:cs="宋体"/>
                <w:kern w:val="0"/>
                <w:szCs w:val="21"/>
              </w:rPr>
              <w:t>每间实验室内存放的氧气和可燃气体不宜超过一瓶，其他气瓶的存放，应控制在最小需求量；</w:t>
            </w:r>
            <w:r>
              <w:rPr>
                <w:kern w:val="0"/>
                <w:szCs w:val="21"/>
              </w:rPr>
              <w:t>气体钢瓶不得放在走廊、大厅等公共场所</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8.6.11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不能带着减压阀移动钢瓶、不得在地上滚动钢瓶</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8.7</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化学废弃物处置</w:t>
            </w:r>
            <w:r>
              <w:rPr>
                <w:rFonts w:hint="eastAsia"/>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8.7.2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学校有统一的化学实验废弃物标签，包含废物类别、危险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学校是否</w:t>
            </w:r>
            <w:r>
              <w:rPr>
                <w:bCs/>
                <w:kern w:val="0"/>
                <w:szCs w:val="21"/>
              </w:rPr>
              <w:t>有统一的标签</w:t>
            </w:r>
            <w:r>
              <w:rPr>
                <w:rFonts w:hint="eastAsia"/>
                <w:bCs/>
                <w:kern w:val="0"/>
                <w:szCs w:val="21"/>
              </w:rPr>
              <w:t>并且正常</w:t>
            </w:r>
            <w:r>
              <w:rPr>
                <w:bCs/>
                <w:kern w:val="0"/>
                <w:szCs w:val="21"/>
              </w:rPr>
              <w:t>使用</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8.7.3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配备了化学实验废弃物分类容器</w:t>
            </w:r>
            <w:r>
              <w:rPr>
                <w:rFonts w:hint="eastAsia"/>
                <w:kern w:val="0"/>
                <w:szCs w:val="21"/>
              </w:rPr>
              <w:t>，</w:t>
            </w: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bCs/>
                <w:kern w:val="0"/>
                <w:szCs w:val="21"/>
              </w:rPr>
              <w:t>容量</w:t>
            </w:r>
            <w:r>
              <w:rPr>
                <w:bCs/>
                <w:kern w:val="0"/>
                <w:szCs w:val="21"/>
              </w:rPr>
              <w:t>的</w:t>
            </w:r>
            <w:r>
              <w:rPr>
                <w:rFonts w:hint="eastAsia"/>
                <w:bCs/>
                <w:kern w:val="0"/>
                <w:szCs w:val="21"/>
              </w:rPr>
              <w:t>2/3</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default" w:eastAsia="宋体"/>
                <w:bCs/>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8.7.4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对于</w:t>
            </w:r>
            <w:r>
              <w:rPr>
                <w:kern w:val="0"/>
                <w:szCs w:val="21"/>
              </w:rPr>
              <w:t>危险性大的废弃物，要独立包装，标签信息明确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不能</w:t>
            </w:r>
            <w:r>
              <w:rPr>
                <w:bCs/>
                <w:kern w:val="0"/>
                <w:szCs w:val="21"/>
              </w:rPr>
              <w:t>混合</w:t>
            </w:r>
            <w:r>
              <w:rPr>
                <w:rFonts w:hint="eastAsia"/>
                <w:bCs/>
                <w:kern w:val="0"/>
                <w:szCs w:val="21"/>
              </w:rPr>
              <w:t>，</w:t>
            </w:r>
            <w:r>
              <w:rPr>
                <w:bCs/>
                <w:kern w:val="0"/>
                <w:szCs w:val="21"/>
              </w:rPr>
              <w:t>尽量原瓶装</w:t>
            </w:r>
            <w:r>
              <w:rPr>
                <w:rFonts w:hint="eastAsia"/>
                <w:bCs/>
                <w:kern w:val="0"/>
                <w:szCs w:val="21"/>
              </w:rPr>
              <w:t>，</w:t>
            </w:r>
            <w:r>
              <w:rPr>
                <w:bCs/>
                <w:kern w:val="0"/>
                <w:szCs w:val="21"/>
              </w:rPr>
              <w:t>加贴废弃物标签</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8.7.5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查看记录</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8.7.6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w:t>
            </w:r>
            <w:r>
              <w:rPr>
                <w:rFonts w:hint="eastAsia"/>
                <w:bCs/>
                <w:kern w:val="0"/>
                <w:szCs w:val="21"/>
              </w:rPr>
              <w:t>垃圾桶（有</w:t>
            </w:r>
            <w:r>
              <w:rPr>
                <w:bCs/>
                <w:kern w:val="0"/>
                <w:szCs w:val="21"/>
              </w:rPr>
              <w:t>标签</w:t>
            </w:r>
            <w:r>
              <w:rPr>
                <w:rFonts w:hint="eastAsia"/>
                <w:bCs/>
                <w:kern w:val="0"/>
                <w:szCs w:val="21"/>
              </w:rPr>
              <w:t>）、现场</w:t>
            </w:r>
            <w:r>
              <w:rPr>
                <w:bCs/>
                <w:kern w:val="0"/>
                <w:szCs w:val="21"/>
              </w:rPr>
              <w:t>询问</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8.7.7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锐器废物盛放在纸板箱等不易被刺穿的容器中</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看现场</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8.8</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8.8.1</w:t>
            </w:r>
          </w:p>
        </w:tc>
        <w:tc>
          <w:tcPr>
            <w:tcW w:w="5810" w:type="dxa"/>
            <w:shd w:val="clear" w:color="auto" w:fill="auto"/>
            <w:tcMar>
              <w:left w:w="45" w:type="dxa"/>
              <w:right w:w="45" w:type="dxa"/>
            </w:tcMar>
            <w:vAlign w:val="center"/>
          </w:tcPr>
          <w:p>
            <w:pPr>
              <w:widowControl/>
              <w:spacing w:line="300" w:lineRule="exact"/>
              <w:rPr>
                <w:kern w:val="0"/>
                <w:szCs w:val="21"/>
              </w:rPr>
            </w:pPr>
            <w:r>
              <w:rPr>
                <w:kern w:val="0"/>
                <w:szCs w:val="21"/>
              </w:rPr>
              <w:t>学校有危险品仓库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p>
        </w:tc>
        <w:tc>
          <w:tcPr>
            <w:tcW w:w="3260" w:type="dxa"/>
            <w:shd w:val="clear" w:color="auto" w:fill="auto"/>
            <w:tcMar>
              <w:left w:w="45" w:type="dxa"/>
              <w:right w:w="45" w:type="dxa"/>
            </w:tcMar>
            <w:vAlign w:val="center"/>
          </w:tcPr>
          <w:p>
            <w:pPr>
              <w:widowControl/>
              <w:spacing w:line="300" w:lineRule="exact"/>
              <w:jc w:val="left"/>
              <w:rPr>
                <w:bCs/>
                <w:kern w:val="0"/>
                <w:szCs w:val="21"/>
                <w:vertAlign w:val="superscript"/>
              </w:rPr>
            </w:pPr>
            <w:r>
              <w:rPr>
                <w:rFonts w:hint="eastAsia"/>
                <w:bCs/>
                <w:kern w:val="0"/>
                <w:szCs w:val="21"/>
              </w:rPr>
              <w:t>独立仓库</w:t>
            </w:r>
            <w:r>
              <w:rPr>
                <w:bCs/>
                <w:kern w:val="0"/>
                <w:szCs w:val="21"/>
              </w:rPr>
              <w:t>一般小于</w:t>
            </w:r>
            <w:r>
              <w:rPr>
                <w:rFonts w:hint="eastAsia"/>
                <w:bCs/>
                <w:kern w:val="0"/>
                <w:szCs w:val="21"/>
              </w:rPr>
              <w:t>550m</w:t>
            </w:r>
            <w:r>
              <w:rPr>
                <w:rFonts w:hint="eastAsia"/>
                <w:bCs/>
                <w:kern w:val="0"/>
                <w:szCs w:val="21"/>
                <w:vertAlign w:val="superscript"/>
              </w:rPr>
              <w:t>2</w:t>
            </w:r>
          </w:p>
          <w:p>
            <w:pPr>
              <w:widowControl/>
              <w:spacing w:line="300" w:lineRule="exact"/>
              <w:jc w:val="left"/>
              <w:rPr>
                <w:bCs/>
                <w:kern w:val="0"/>
                <w:szCs w:val="21"/>
              </w:rPr>
            </w:pPr>
            <w:r>
              <w:rPr>
                <w:rFonts w:hint="eastAsia"/>
                <w:bCs/>
                <w:kern w:val="0"/>
                <w:szCs w:val="21"/>
              </w:rPr>
              <w:t>，设</w:t>
            </w:r>
            <w:r>
              <w:rPr>
                <w:bCs/>
                <w:kern w:val="0"/>
                <w:szCs w:val="21"/>
              </w:rPr>
              <w:t>施</w:t>
            </w:r>
            <w:r>
              <w:rPr>
                <w:rFonts w:hint="eastAsia"/>
                <w:bCs/>
                <w:kern w:val="0"/>
                <w:szCs w:val="21"/>
              </w:rPr>
              <w:t>（含</w:t>
            </w:r>
            <w:r>
              <w:rPr>
                <w:bCs/>
                <w:kern w:val="0"/>
                <w:szCs w:val="21"/>
              </w:rPr>
              <w:t>技防</w:t>
            </w:r>
            <w:r>
              <w:rPr>
                <w:rFonts w:hint="eastAsia"/>
                <w:bCs/>
                <w:kern w:val="0"/>
                <w:szCs w:val="21"/>
              </w:rPr>
              <w:t>等）</w:t>
            </w:r>
            <w:r>
              <w:rPr>
                <w:bCs/>
                <w:kern w:val="0"/>
                <w:szCs w:val="21"/>
              </w:rPr>
              <w:t>完备</w:t>
            </w:r>
            <w:r>
              <w:rPr>
                <w:rFonts w:hint="eastAsia"/>
                <w:bCs/>
                <w:kern w:val="0"/>
                <w:szCs w:val="21"/>
              </w:rPr>
              <w:t>，不准设立于</w:t>
            </w:r>
            <w:r>
              <w:rPr>
                <w:bCs/>
                <w:kern w:val="0"/>
                <w:szCs w:val="21"/>
              </w:rPr>
              <w:t>地下</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8.8.2</w:t>
            </w:r>
          </w:p>
        </w:tc>
        <w:tc>
          <w:tcPr>
            <w:tcW w:w="5810" w:type="dxa"/>
            <w:shd w:val="clear" w:color="auto" w:fill="auto"/>
            <w:tcMar>
              <w:left w:w="45" w:type="dxa"/>
              <w:right w:w="45" w:type="dxa"/>
            </w:tcMar>
            <w:vAlign w:val="center"/>
          </w:tcPr>
          <w:p>
            <w:pPr>
              <w:widowControl/>
              <w:spacing w:line="300" w:lineRule="exact"/>
              <w:rPr>
                <w:kern w:val="0"/>
                <w:szCs w:val="21"/>
              </w:rPr>
            </w:pP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有机</w:t>
            </w:r>
            <w:r>
              <w:rPr>
                <w:bCs/>
                <w:kern w:val="0"/>
                <w:szCs w:val="21"/>
              </w:rPr>
              <w:t>试剂房间不能用水喷淋</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8.8.3</w:t>
            </w:r>
          </w:p>
        </w:tc>
        <w:tc>
          <w:tcPr>
            <w:tcW w:w="5810" w:type="dxa"/>
            <w:shd w:val="clear" w:color="auto" w:fill="auto"/>
            <w:tcMar>
              <w:left w:w="45" w:type="dxa"/>
              <w:right w:w="45" w:type="dxa"/>
            </w:tcMar>
            <w:vAlign w:val="center"/>
          </w:tcPr>
          <w:p>
            <w:pPr>
              <w:widowControl/>
              <w:spacing w:line="300" w:lineRule="exact"/>
              <w:rPr>
                <w:kern w:val="0"/>
                <w:szCs w:val="21"/>
              </w:rPr>
            </w:pP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面积小于</w:t>
            </w:r>
            <w:r>
              <w:rPr>
                <w:rFonts w:hint="eastAsia"/>
                <w:kern w:val="0"/>
                <w:szCs w:val="21"/>
              </w:rPr>
              <w:t>30m</w:t>
            </w:r>
            <w:r>
              <w:rPr>
                <w:rFonts w:hint="eastAsia"/>
                <w:kern w:val="0"/>
                <w:szCs w:val="21"/>
                <w:vertAlign w:val="superscript"/>
              </w:rPr>
              <w:t>2</w:t>
            </w:r>
            <w:r>
              <w:rPr>
                <w:rFonts w:hint="eastAsia"/>
                <w:kern w:val="0"/>
                <w:szCs w:val="21"/>
              </w:rPr>
              <w:t>；暂存库不能在</w:t>
            </w:r>
            <w:r>
              <w:rPr>
                <w:kern w:val="0"/>
                <w:szCs w:val="21"/>
              </w:rPr>
              <w:t>地下室空间</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8.8.4</w:t>
            </w:r>
          </w:p>
        </w:tc>
        <w:tc>
          <w:tcPr>
            <w:tcW w:w="5810" w:type="dxa"/>
            <w:shd w:val="clear" w:color="auto" w:fill="auto"/>
            <w:tcMar>
              <w:left w:w="45" w:type="dxa"/>
              <w:right w:w="45" w:type="dxa"/>
            </w:tcMar>
            <w:vAlign w:val="center"/>
          </w:tcPr>
          <w:p>
            <w:pPr>
              <w:widowControl/>
              <w:spacing w:line="300" w:lineRule="exact"/>
              <w:rPr>
                <w:kern w:val="0"/>
                <w:szCs w:val="21"/>
              </w:rPr>
            </w:pPr>
            <w:r>
              <w:rPr>
                <w:szCs w:val="21"/>
              </w:rPr>
              <w:t>化学品、废弃物分类区域明确，规范放置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8.8.5</w:t>
            </w:r>
          </w:p>
        </w:tc>
        <w:tc>
          <w:tcPr>
            <w:tcW w:w="5810" w:type="dxa"/>
            <w:shd w:val="clear" w:color="auto" w:fill="auto"/>
            <w:tcMar>
              <w:left w:w="45" w:type="dxa"/>
              <w:right w:w="45" w:type="dxa"/>
            </w:tcMar>
            <w:vAlign w:val="center"/>
          </w:tcPr>
          <w:p>
            <w:pPr>
              <w:widowControl/>
              <w:spacing w:line="300" w:lineRule="exact"/>
              <w:rPr>
                <w:kern w:val="0"/>
                <w:szCs w:val="21"/>
              </w:rPr>
            </w:pPr>
            <w:r>
              <w:rPr>
                <w:szCs w:val="21"/>
              </w:rPr>
              <w:t>建立进出库台账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台账</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8.9</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其它化学安全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8.9.1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是否</w:t>
            </w:r>
            <w:r>
              <w:rPr>
                <w:bCs/>
                <w:kern w:val="0"/>
                <w:szCs w:val="21"/>
              </w:rPr>
              <w:t>有、是否都使用了</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default" w:eastAsia="宋体"/>
                <w:bCs/>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8.9.2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信息</w:t>
            </w:r>
            <w:r>
              <w:rPr>
                <w:bCs/>
                <w:kern w:val="0"/>
                <w:szCs w:val="21"/>
              </w:rPr>
              <w:t>不缺项</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8.9.3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盛放配置试剂、合成品等的烧杯、烧瓶不得无盖放置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8.9.4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无使用饮料瓶存放试剂、样品的现象。如确需存放，必须撕去原包装纸，贴上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8.9.5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原标签纸未撕去的空试剂瓶中不存放其它化学品（</w:t>
            </w:r>
            <w:r>
              <w:rPr>
                <w:rFonts w:hint="eastAsia"/>
                <w:kern w:val="0"/>
                <w:szCs w:val="21"/>
              </w:rPr>
              <w:t>如确实有需要，务必贴上所装存试剂信息</w:t>
            </w:r>
            <w:r>
              <w:rPr>
                <w:kern w:val="0"/>
                <w:szCs w:val="21"/>
              </w:rPr>
              <w:t>的</w:t>
            </w:r>
            <w:r>
              <w:rPr>
                <w:rFonts w:hint="eastAsia"/>
                <w:kern w:val="0"/>
                <w:szCs w:val="21"/>
              </w:rPr>
              <w:t>新标签</w:t>
            </w:r>
            <w:r>
              <w:rPr>
                <w:kern w:val="0"/>
                <w:szCs w:val="21"/>
              </w:rPr>
              <w:t>）</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试剂瓶</w:t>
            </w:r>
            <w:r>
              <w:rPr>
                <w:bCs/>
                <w:kern w:val="0"/>
                <w:szCs w:val="21"/>
              </w:rPr>
              <w:t>标签上不得</w:t>
            </w:r>
            <w:r>
              <w:rPr>
                <w:rFonts w:hint="eastAsia"/>
                <w:bCs/>
                <w:kern w:val="0"/>
                <w:szCs w:val="21"/>
              </w:rPr>
              <w:t>随意</w:t>
            </w:r>
            <w:r>
              <w:rPr>
                <w:bCs/>
                <w:kern w:val="0"/>
                <w:szCs w:val="21"/>
              </w:rPr>
              <w:t>写字</w:t>
            </w:r>
            <w:r>
              <w:rPr>
                <w:rFonts w:hint="eastAsia"/>
                <w:bCs/>
                <w:kern w:val="0"/>
                <w:szCs w:val="21"/>
              </w:rPr>
              <w:t>后</w:t>
            </w:r>
            <w:r>
              <w:rPr>
                <w:bCs/>
                <w:kern w:val="0"/>
                <w:szCs w:val="21"/>
              </w:rPr>
              <w:t>装其它试剂</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8.9.6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用于浸泡玻璃器皿的酸缸、碱缸等有盖子盖上</w:t>
            </w:r>
            <w:r>
              <w:rPr>
                <w:rFonts w:hint="eastAsia"/>
                <w:kern w:val="0"/>
                <w:szCs w:val="21"/>
              </w:rPr>
              <w:t>、</w:t>
            </w:r>
            <w:r>
              <w:rPr>
                <w:kern w:val="0"/>
                <w:szCs w:val="21"/>
              </w:rPr>
              <w:t>标签明确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桶</w:t>
            </w:r>
            <w:r>
              <w:rPr>
                <w:bCs/>
                <w:kern w:val="0"/>
                <w:szCs w:val="21"/>
              </w:rPr>
              <w:t>和盖子上都有标签</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8.9.7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不使用破损量筒、试管等玻璃器皿</w:t>
            </w:r>
          </w:p>
        </w:tc>
        <w:tc>
          <w:tcPr>
            <w:tcW w:w="3260" w:type="dxa"/>
            <w:shd w:val="clear" w:color="auto" w:fill="auto"/>
            <w:tcMar>
              <w:left w:w="45" w:type="dxa"/>
              <w:right w:w="45" w:type="dxa"/>
            </w:tcMar>
            <w:vAlign w:val="center"/>
          </w:tcPr>
          <w:p>
            <w:pPr>
              <w:widowControl/>
              <w:spacing w:line="300" w:lineRule="exact"/>
              <w:jc w:val="left"/>
              <w:rPr>
                <w:bCs/>
                <w:kern w:val="0"/>
                <w:szCs w:val="21"/>
              </w:rPr>
            </w:pP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8.9.8</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化学</w:t>
            </w:r>
            <w:r>
              <w:rPr>
                <w:szCs w:val="21"/>
              </w:rPr>
              <w:t>实验室内有吸液（油）棉/条带</w:t>
            </w:r>
            <w:r>
              <w:rPr>
                <w:rFonts w:hint="eastAsia"/>
                <w:szCs w:val="21"/>
              </w:rPr>
              <w:t>、</w:t>
            </w:r>
            <w:r>
              <w:rPr>
                <w:szCs w:val="21"/>
              </w:rPr>
              <w:t>液体泄漏吸附剂等</w:t>
            </w:r>
          </w:p>
        </w:tc>
        <w:tc>
          <w:tcPr>
            <w:tcW w:w="3260" w:type="dxa"/>
            <w:shd w:val="clear" w:color="auto" w:fill="auto"/>
            <w:tcMar>
              <w:left w:w="45" w:type="dxa"/>
              <w:right w:w="45" w:type="dxa"/>
            </w:tcMar>
            <w:vAlign w:val="center"/>
          </w:tcPr>
          <w:p>
            <w:pPr>
              <w:widowControl/>
              <w:spacing w:line="300" w:lineRule="exact"/>
              <w:jc w:val="left"/>
              <w:rPr>
                <w:bCs/>
                <w:kern w:val="0"/>
                <w:szCs w:val="21"/>
              </w:rPr>
            </w:pP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default" w:eastAsia="宋体"/>
                <w:bCs/>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9</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9.1</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实验室资质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hint="eastAsia" w:eastAsia="黑体"/>
                <w:kern w:val="0"/>
                <w:szCs w:val="21"/>
              </w:rPr>
              <w:t>9.1.5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严格按照国家法律法规和学校相关规定开展转基因、人类遗传资源的相关研究</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查看资料</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9.2</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9.2.1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 xml:space="preserve">正常 </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现场及资料</w:t>
            </w:r>
          </w:p>
        </w:tc>
        <w:tc>
          <w:tcPr>
            <w:tcW w:w="599" w:type="dxa"/>
            <w:tcMar>
              <w:left w:w="45" w:type="dxa"/>
              <w:right w:w="45" w:type="dxa"/>
            </w:tcMar>
            <w:vAlign w:val="center"/>
          </w:tcPr>
          <w:p>
            <w:pPr>
              <w:widowControl/>
              <w:spacing w:line="300" w:lineRule="exact"/>
              <w:jc w:val="center"/>
              <w:rPr>
                <w:rFonts w:hint="eastAsia" w:eastAsia="宋体"/>
                <w:b/>
                <w:bCs/>
                <w:kern w:val="0"/>
                <w:szCs w:val="21"/>
                <w:lang w:val="en-US" w:eastAsia="zh-CN"/>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9.2.2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BSL-2/ABSL-2及以上安全等级实验室须</w:t>
            </w:r>
            <w:r>
              <w:rPr>
                <w:rFonts w:hint="eastAsia"/>
                <w:kern w:val="0"/>
                <w:szCs w:val="21"/>
              </w:rPr>
              <w:t>设</w:t>
            </w:r>
            <w:r>
              <w:rPr>
                <w:kern w:val="0"/>
                <w:szCs w:val="21"/>
              </w:rPr>
              <w:t>门禁管理和准入制度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准入</w:t>
            </w:r>
            <w:r>
              <w:rPr>
                <w:bCs/>
                <w:kern w:val="0"/>
                <w:szCs w:val="21"/>
              </w:rPr>
              <w:t>制度上</w:t>
            </w:r>
            <w:r>
              <w:rPr>
                <w:rFonts w:hint="eastAsia"/>
                <w:bCs/>
                <w:kern w:val="0"/>
                <w:szCs w:val="21"/>
              </w:rPr>
              <w:t>墙</w:t>
            </w:r>
          </w:p>
        </w:tc>
        <w:tc>
          <w:tcPr>
            <w:tcW w:w="599" w:type="dxa"/>
            <w:tcMar>
              <w:left w:w="45" w:type="dxa"/>
              <w:right w:w="45" w:type="dxa"/>
            </w:tcMar>
            <w:vAlign w:val="center"/>
          </w:tcPr>
          <w:p>
            <w:pPr>
              <w:widowControl/>
              <w:spacing w:line="300" w:lineRule="exact"/>
              <w:jc w:val="center"/>
              <w:rPr>
                <w:rFonts w:hint="eastAsia" w:eastAsia="宋体"/>
                <w:b/>
                <w:bCs/>
                <w:kern w:val="0"/>
                <w:szCs w:val="21"/>
                <w:lang w:val="en-US" w:eastAsia="zh-CN"/>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rFonts w:hint="eastAsia" w:eastAsia="宋体"/>
                <w:b/>
                <w:bCs/>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9.2.3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pPr>
              <w:widowControl/>
              <w:spacing w:line="300" w:lineRule="exact"/>
              <w:jc w:val="center"/>
              <w:rPr>
                <w:rFonts w:hint="eastAsia" w:eastAsia="宋体"/>
                <w:b/>
                <w:bCs/>
                <w:kern w:val="0"/>
                <w:szCs w:val="21"/>
                <w:lang w:val="en-US" w:eastAsia="zh-CN"/>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rFonts w:hint="eastAsia" w:eastAsia="宋体"/>
                <w:b/>
                <w:bCs/>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9.2.4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配有符合相应</w:t>
            </w:r>
            <w:r>
              <w:rPr>
                <w:rFonts w:hint="eastAsia"/>
                <w:kern w:val="0"/>
                <w:szCs w:val="21"/>
              </w:rPr>
              <w:t>要求</w:t>
            </w:r>
            <w:r>
              <w:rPr>
                <w:kern w:val="0"/>
                <w:szCs w:val="21"/>
              </w:rPr>
              <w:t>的</w:t>
            </w:r>
            <w:r>
              <w:rPr>
                <w:rFonts w:hint="eastAsia"/>
                <w:kern w:val="0"/>
                <w:szCs w:val="21"/>
              </w:rPr>
              <w:t>II级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查看种类</w:t>
            </w:r>
            <w:r>
              <w:rPr>
                <w:bCs/>
                <w:kern w:val="0"/>
                <w:szCs w:val="21"/>
              </w:rPr>
              <w:t>、记录</w:t>
            </w:r>
            <w:r>
              <w:rPr>
                <w:rFonts w:hint="eastAsia"/>
                <w:bCs/>
                <w:kern w:val="0"/>
                <w:szCs w:val="21"/>
              </w:rPr>
              <w:t xml:space="preserve"> </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rFonts w:hint="eastAsia" w:eastAsia="宋体"/>
                <w:b/>
                <w:bCs/>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9.2.5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9.2.6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三级/四级实验室配备应急供电及应急淋浴设施</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9.2.7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9.2.8</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安装了防虫纱窗、入口处有挡鼠板</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9.3</w:t>
            </w:r>
          </w:p>
        </w:tc>
        <w:tc>
          <w:tcPr>
            <w:tcW w:w="13524"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9.4</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人员</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9.5</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9.6</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9.6.1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饲养实验动物的场所应有资质证书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证书</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9.6.2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实验动物需从具有资质的单位购买，有合格证明</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9.6.3</w:t>
            </w:r>
          </w:p>
        </w:tc>
        <w:tc>
          <w:tcPr>
            <w:tcW w:w="5810" w:type="dxa"/>
            <w:shd w:val="clear" w:color="auto" w:fill="auto"/>
            <w:tcMar>
              <w:left w:w="45" w:type="dxa"/>
              <w:right w:w="45" w:type="dxa"/>
            </w:tcMar>
            <w:vAlign w:val="center"/>
          </w:tcPr>
          <w:p>
            <w:pPr>
              <w:widowControl/>
              <w:spacing w:line="300" w:lineRule="exact"/>
              <w:jc w:val="left"/>
              <w:rPr>
                <w:szCs w:val="21"/>
              </w:rPr>
            </w:pPr>
            <w:r>
              <w:rPr>
                <w:szCs w:val="21"/>
              </w:rPr>
              <w:t>用于解剖的实验动物须经过检验检疫合格</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查看采购检验</w:t>
            </w:r>
            <w:r>
              <w:rPr>
                <w:bCs/>
                <w:kern w:val="0"/>
                <w:szCs w:val="21"/>
              </w:rPr>
              <w:t>记录</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9.6.4</w:t>
            </w:r>
          </w:p>
        </w:tc>
        <w:tc>
          <w:tcPr>
            <w:tcW w:w="5810" w:type="dxa"/>
            <w:shd w:val="clear" w:color="auto" w:fill="auto"/>
            <w:tcMar>
              <w:left w:w="45" w:type="dxa"/>
              <w:right w:w="45" w:type="dxa"/>
            </w:tcMar>
            <w:vAlign w:val="center"/>
          </w:tcPr>
          <w:p>
            <w:pPr>
              <w:widowControl/>
              <w:spacing w:line="300" w:lineRule="exact"/>
              <w:jc w:val="left"/>
              <w:rPr>
                <w:szCs w:val="21"/>
              </w:rPr>
            </w:pPr>
            <w:r>
              <w:rPr>
                <w:szCs w:val="21"/>
              </w:rPr>
              <w:t>解剖实验动物时，必须做好个人</w:t>
            </w:r>
            <w:r>
              <w:rPr>
                <w:rFonts w:hint="eastAsia"/>
                <w:szCs w:val="21"/>
              </w:rPr>
              <w:t>安全</w:t>
            </w:r>
            <w:r>
              <w:rPr>
                <w:szCs w:val="21"/>
              </w:rPr>
              <w:t>防护</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9.6.5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动物实验结束后，</w:t>
            </w:r>
            <w:r>
              <w:rPr>
                <w:rFonts w:hint="eastAsia"/>
                <w:kern w:val="0"/>
                <w:szCs w:val="21"/>
              </w:rPr>
              <w:t>经</w:t>
            </w:r>
            <w:r>
              <w:rPr>
                <w:kern w:val="0"/>
                <w:szCs w:val="21"/>
              </w:rPr>
              <w:t>必要的灭菌、灭</w:t>
            </w:r>
            <w:r>
              <w:rPr>
                <w:rFonts w:hint="eastAsia"/>
                <w:kern w:val="0"/>
                <w:szCs w:val="21"/>
              </w:rPr>
              <w:t>活</w:t>
            </w:r>
            <w:r>
              <w:rPr>
                <w:kern w:val="0"/>
                <w:szCs w:val="21"/>
              </w:rPr>
              <w:t>处理，送学校中转站或收集点</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9.6.6</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kern w:val="0"/>
                <w:szCs w:val="21"/>
              </w:rPr>
              <w:t>成立</w:t>
            </w:r>
            <w:r>
              <w:rPr>
                <w:kern w:val="0"/>
                <w:szCs w:val="21"/>
              </w:rPr>
              <w:t>实验动物</w:t>
            </w:r>
            <w:r>
              <w:rPr>
                <w:rFonts w:hint="eastAsia"/>
                <w:kern w:val="0"/>
                <w:szCs w:val="21"/>
              </w:rPr>
              <w:t>伦理</w:t>
            </w:r>
            <w:r>
              <w:rPr>
                <w:kern w:val="0"/>
                <w:szCs w:val="21"/>
              </w:rPr>
              <w:t>委员会</w:t>
            </w:r>
            <w:r>
              <w:rPr>
                <w:rFonts w:hint="eastAsia"/>
                <w:kern w:val="0"/>
                <w:szCs w:val="21"/>
              </w:rPr>
              <w:t>，</w:t>
            </w:r>
            <w:r>
              <w:rPr>
                <w:kern w:val="0"/>
                <w:szCs w:val="21"/>
              </w:rPr>
              <w:t>保障动物权益</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文件</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9.7</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10</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辐射安全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10.1</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实验室资质与人员要求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10.1.1</w:t>
            </w:r>
          </w:p>
        </w:tc>
        <w:tc>
          <w:tcPr>
            <w:tcW w:w="5810" w:type="dxa"/>
            <w:shd w:val="clear" w:color="auto" w:fill="auto"/>
            <w:tcMar>
              <w:left w:w="45" w:type="dxa"/>
              <w:right w:w="45" w:type="dxa"/>
            </w:tcMar>
            <w:vAlign w:val="center"/>
          </w:tcPr>
          <w:p>
            <w:pPr>
              <w:widowControl/>
              <w:spacing w:line="300" w:lineRule="exact"/>
              <w:rPr>
                <w:b/>
                <w:kern w:val="0"/>
                <w:szCs w:val="21"/>
              </w:rPr>
            </w:pPr>
            <w:r>
              <w:rPr>
                <w:rFonts w:hint="eastAsia"/>
                <w:szCs w:val="21"/>
              </w:rPr>
              <w:t>涉源</w:t>
            </w:r>
            <w:r>
              <w:rPr>
                <w:bCs/>
                <w:kern w:val="0"/>
                <w:szCs w:val="21"/>
              </w:rPr>
              <w:t>学校</w:t>
            </w:r>
            <w:r>
              <w:rPr>
                <w:rFonts w:hint="eastAsia"/>
                <w:bCs/>
                <w:kern w:val="0"/>
                <w:szCs w:val="21"/>
              </w:rPr>
              <w:t>须</w:t>
            </w:r>
            <w:r>
              <w:rPr>
                <w:kern w:val="0"/>
                <w:szCs w:val="21"/>
              </w:rPr>
              <w:t>取得“辐射安全许可证”，并按规定在放射性核素种类和用量</w:t>
            </w:r>
            <w:r>
              <w:rPr>
                <w:rFonts w:hint="eastAsia"/>
                <w:kern w:val="0"/>
                <w:szCs w:val="21"/>
              </w:rPr>
              <w:t>以及</w:t>
            </w:r>
            <w:r>
              <w:rPr>
                <w:kern w:val="0"/>
                <w:szCs w:val="21"/>
              </w:rPr>
              <w:t>射线种类许可范围内开展实验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10.1.2</w:t>
            </w:r>
          </w:p>
        </w:tc>
        <w:tc>
          <w:tcPr>
            <w:tcW w:w="5810" w:type="dxa"/>
            <w:shd w:val="clear" w:color="auto" w:fill="auto"/>
            <w:tcMar>
              <w:left w:w="45" w:type="dxa"/>
              <w:right w:w="45" w:type="dxa"/>
            </w:tcMar>
            <w:vAlign w:val="center"/>
          </w:tcPr>
          <w:p>
            <w:pPr>
              <w:widowControl/>
              <w:spacing w:line="300" w:lineRule="exact"/>
              <w:rPr>
                <w:bCs/>
                <w:kern w:val="0"/>
                <w:szCs w:val="21"/>
              </w:rPr>
            </w:pPr>
            <w:r>
              <w:rPr>
                <w:rFonts w:hint="eastAsia"/>
                <w:bCs/>
                <w:kern w:val="0"/>
                <w:szCs w:val="21"/>
              </w:rPr>
              <w:t>X射线类</w:t>
            </w:r>
            <w:r>
              <w:rPr>
                <w:bCs/>
                <w:kern w:val="0"/>
                <w:szCs w:val="21"/>
              </w:rPr>
              <w:t>衍射仪</w:t>
            </w:r>
            <w:r>
              <w:rPr>
                <w:rFonts w:hint="eastAsia"/>
                <w:bCs/>
                <w:kern w:val="0"/>
                <w:szCs w:val="21"/>
              </w:rPr>
              <w:t>等3类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r>
              <w:rPr>
                <w:bCs/>
                <w:kern w:val="0"/>
                <w:szCs w:val="21"/>
              </w:rPr>
              <w:t>加强管理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10.1.3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涉源</w:t>
            </w:r>
            <w:r>
              <w:rPr>
                <w:kern w:val="0"/>
                <w:szCs w:val="21"/>
              </w:rPr>
              <w:t>人员经过了专门培训，有《辐射安全与防护培训合格证书》</w:t>
            </w:r>
            <w:r>
              <w:rPr>
                <w:rFonts w:hint="eastAsia"/>
                <w:kern w:val="0"/>
                <w:szCs w:val="21"/>
              </w:rPr>
              <w:t>（4年</w:t>
            </w:r>
            <w:r>
              <w:rPr>
                <w:kern w:val="0"/>
                <w:szCs w:val="21"/>
              </w:rPr>
              <w:t>复训</w:t>
            </w:r>
            <w:r>
              <w:rPr>
                <w:rFonts w:hint="eastAsia"/>
                <w:kern w:val="0"/>
                <w:szCs w:val="21"/>
              </w:rPr>
              <w:t>1次）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查看培训证书</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10.1.4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（2年</w:t>
            </w:r>
            <w:r>
              <w:rPr>
                <w:kern w:val="0"/>
                <w:szCs w:val="21"/>
              </w:rPr>
              <w:t>1次</w:t>
            </w:r>
            <w:r>
              <w:rPr>
                <w:rFonts w:hint="eastAsia"/>
                <w:kern w:val="0"/>
                <w:szCs w:val="21"/>
              </w:rPr>
              <w:t>），有健康档案</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体检报告</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10.1.5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；委托</w:t>
            </w:r>
            <w:r>
              <w:rPr>
                <w:kern w:val="0"/>
                <w:szCs w:val="21"/>
              </w:rPr>
              <w:t>有资质单位按时进行剂量检测（3个月一次），</w:t>
            </w:r>
            <w:r>
              <w:rPr>
                <w:rFonts w:hint="eastAsia"/>
                <w:kern w:val="0"/>
                <w:szCs w:val="21"/>
              </w:rPr>
              <w:t>有</w:t>
            </w:r>
            <w:r>
              <w:rPr>
                <w:kern w:val="0"/>
                <w:szCs w:val="21"/>
              </w:rPr>
              <w:t>合格的个人剂量检测报告</w:t>
            </w:r>
            <w:r>
              <w:rPr>
                <w:rFonts w:hint="eastAsia"/>
                <w:kern w:val="0"/>
                <w:szCs w:val="21"/>
              </w:rPr>
              <w:t>。</w:t>
            </w:r>
            <w:r>
              <w:rPr>
                <w:bCs/>
                <w:kern w:val="0"/>
                <w:szCs w:val="21"/>
              </w:rPr>
              <w:t>剂量计</w:t>
            </w:r>
            <w:r>
              <w:rPr>
                <w:rFonts w:hint="eastAsia"/>
                <w:bCs/>
                <w:kern w:val="0"/>
                <w:szCs w:val="21"/>
              </w:rPr>
              <w:t>平时</w:t>
            </w:r>
            <w:r>
              <w:rPr>
                <w:bCs/>
                <w:kern w:val="0"/>
                <w:szCs w:val="21"/>
              </w:rPr>
              <w:t>不能</w:t>
            </w:r>
            <w:r>
              <w:rPr>
                <w:rFonts w:hint="eastAsia"/>
                <w:bCs/>
                <w:kern w:val="0"/>
                <w:szCs w:val="21"/>
              </w:rPr>
              <w:t>放</w:t>
            </w:r>
            <w:r>
              <w:rPr>
                <w:bCs/>
                <w:kern w:val="0"/>
                <w:szCs w:val="21"/>
              </w:rPr>
              <w:t>在</w:t>
            </w:r>
            <w:r>
              <w:rPr>
                <w:rFonts w:hint="eastAsia"/>
                <w:bCs/>
                <w:kern w:val="0"/>
                <w:szCs w:val="21"/>
              </w:rPr>
              <w:t>实验室</w:t>
            </w:r>
            <w:r>
              <w:rPr>
                <w:bCs/>
                <w:kern w:val="0"/>
                <w:szCs w:val="21"/>
              </w:rPr>
              <w:t>场所</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合同</w:t>
            </w:r>
            <w:r>
              <w:rPr>
                <w:rFonts w:hint="eastAsia"/>
                <w:bCs/>
                <w:kern w:val="0"/>
                <w:szCs w:val="21"/>
              </w:rPr>
              <w:t>、检测报告</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10.2</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10.2.1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辐照设施设备</w:t>
            </w:r>
            <w:r>
              <w:rPr>
                <w:rFonts w:hint="eastAsia"/>
                <w:kern w:val="0"/>
                <w:szCs w:val="21"/>
              </w:rPr>
              <w:t>和2类</w:t>
            </w:r>
            <w:r>
              <w:rPr>
                <w:kern w:val="0"/>
                <w:szCs w:val="21"/>
              </w:rPr>
              <w:t>以上射线装置具有能正常工作的安全连锁装置</w:t>
            </w:r>
            <w:r>
              <w:rPr>
                <w:rFonts w:hint="eastAsia"/>
                <w:kern w:val="0"/>
                <w:szCs w:val="21"/>
              </w:rPr>
              <w:t>和</w:t>
            </w:r>
            <w:r>
              <w:rPr>
                <w:kern w:val="0"/>
                <w:szCs w:val="21"/>
              </w:rPr>
              <w:t>报警装置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连锁</w:t>
            </w:r>
            <w:r>
              <w:rPr>
                <w:bCs/>
                <w:kern w:val="0"/>
                <w:szCs w:val="21"/>
              </w:rPr>
              <w:t>装置</w:t>
            </w:r>
            <w:r>
              <w:rPr>
                <w:rFonts w:hint="eastAsia"/>
                <w:bCs/>
                <w:kern w:val="0"/>
                <w:szCs w:val="21"/>
              </w:rPr>
              <w:t>与</w:t>
            </w:r>
            <w:r>
              <w:rPr>
                <w:bCs/>
                <w:kern w:val="0"/>
                <w:szCs w:val="21"/>
              </w:rPr>
              <w:t>报警装置</w:t>
            </w:r>
            <w:r>
              <w:rPr>
                <w:rFonts w:hint="eastAsia"/>
                <w:bCs/>
                <w:kern w:val="0"/>
                <w:szCs w:val="21"/>
              </w:rPr>
              <w:t>正常</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10.2.2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视频记录</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10.2.3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涉源</w:t>
            </w:r>
            <w:r>
              <w:rPr>
                <w:kern w:val="0"/>
                <w:szCs w:val="21"/>
              </w:rPr>
              <w:t>实验场所（放射性物质、X射线装置）有</w:t>
            </w:r>
            <w:r>
              <w:rPr>
                <w:rFonts w:hint="eastAsia"/>
                <w:kern w:val="0"/>
                <w:szCs w:val="21"/>
              </w:rPr>
              <w:t>明显的</w:t>
            </w:r>
            <w:r>
              <w:rPr>
                <w:kern w:val="0"/>
                <w:szCs w:val="21"/>
              </w:rPr>
              <w:t>安全警示标识、警戒线和剂量报警仪</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10.2.4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10.2.5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有专门存放放射性废弃物的容器和暂存库</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有准确的台帐</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10.2.6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非密封性放射性实验室有衰减池，</w:t>
            </w:r>
            <w:r>
              <w:rPr>
                <w:szCs w:val="21"/>
              </w:rPr>
              <w:t>或者有非密封性专门回收处置场所</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查看现场</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10.3</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采购、转让转移与运输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10.3.1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放射源和放射性物质的采购和转让转移有学校及政府环保部门的审批备案材料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10.3.2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10.3.3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放射源</w:t>
            </w:r>
            <w:r>
              <w:rPr>
                <w:rFonts w:hint="eastAsia"/>
                <w:kern w:val="0"/>
                <w:szCs w:val="21"/>
              </w:rPr>
              <w:t>、</w:t>
            </w:r>
            <w:r>
              <w:rPr>
                <w:kern w:val="0"/>
                <w:szCs w:val="21"/>
              </w:rPr>
              <w:t>放射性物质</w:t>
            </w:r>
            <w:r>
              <w:rPr>
                <w:rFonts w:hint="eastAsia"/>
                <w:kern w:val="0"/>
                <w:szCs w:val="21"/>
              </w:rPr>
              <w:t>以及3类</w:t>
            </w:r>
            <w:r>
              <w:rPr>
                <w:kern w:val="0"/>
                <w:szCs w:val="21"/>
              </w:rPr>
              <w:t>以上射线装置变更及时登记</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台账</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10.4</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放射性实验安全操作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10.4.1</w:t>
            </w:r>
          </w:p>
        </w:tc>
        <w:tc>
          <w:tcPr>
            <w:tcW w:w="5810" w:type="dxa"/>
            <w:shd w:val="clear" w:color="auto" w:fill="auto"/>
            <w:tcMar>
              <w:left w:w="45" w:type="dxa"/>
              <w:right w:w="45" w:type="dxa"/>
            </w:tcMar>
            <w:vAlign w:val="center"/>
          </w:tcPr>
          <w:p>
            <w:pPr>
              <w:widowControl/>
              <w:spacing w:line="300" w:lineRule="exact"/>
              <w:jc w:val="left"/>
              <w:rPr>
                <w:rFonts w:hint="eastAsia" w:eastAsia="宋体"/>
                <w:kern w:val="0"/>
                <w:szCs w:val="21"/>
                <w:lang w:eastAsia="zh-CN"/>
              </w:rPr>
            </w:pPr>
            <w:r>
              <w:rPr>
                <w:kern w:val="0"/>
                <w:szCs w:val="21"/>
              </w:rPr>
              <w:t>Г辐照装置有符合国家相关规定的操作规程、安保方案及应急预案，并遵照执行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10.4.2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电子加速器</w:t>
            </w:r>
            <w:r>
              <w:rPr>
                <w:rFonts w:hint="eastAsia"/>
                <w:kern w:val="0"/>
                <w:szCs w:val="21"/>
              </w:rPr>
              <w:t>等</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10.4.3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10.4.4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10.4.5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5类</w:t>
            </w:r>
            <w:r>
              <w:rPr>
                <w:kern w:val="0"/>
                <w:szCs w:val="21"/>
              </w:rPr>
              <w:t>以上的密封性放射性实验操作有符合国家相关规定的操作规程，并遵照执行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10.5</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放射性实验</w:t>
            </w:r>
            <w:r>
              <w:rPr>
                <w:rFonts w:hint="eastAsia"/>
                <w:b/>
                <w:kern w:val="0"/>
                <w:szCs w:val="21"/>
              </w:rPr>
              <w:t>废弃</w:t>
            </w:r>
            <w:r>
              <w:rPr>
                <w:b/>
                <w:kern w:val="0"/>
                <w:szCs w:val="21"/>
              </w:rPr>
              <w:t>物的处置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10.5.1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X光管</w:t>
            </w:r>
            <w:r>
              <w:rPr>
                <w:bCs/>
                <w:kern w:val="0"/>
                <w:szCs w:val="21"/>
              </w:rPr>
              <w:t>报废时应敲碎</w:t>
            </w:r>
            <w:r>
              <w:rPr>
                <w:rFonts w:hint="eastAsia"/>
                <w:bCs/>
                <w:kern w:val="0"/>
                <w:szCs w:val="21"/>
              </w:rPr>
              <w:t>，</w:t>
            </w:r>
            <w:r>
              <w:rPr>
                <w:bCs/>
                <w:kern w:val="0"/>
                <w:szCs w:val="21"/>
              </w:rPr>
              <w:t>拍照留存</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存档资料</w:t>
            </w:r>
            <w:r>
              <w:rPr>
                <w:rFonts w:hint="eastAsia"/>
                <w:bCs/>
                <w:kern w:val="0"/>
                <w:szCs w:val="21"/>
              </w:rPr>
              <w:t xml:space="preserve"> </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10.5.2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中、长半衰期核素固液废弃物有符合国家相关规定的处置方案或回收协议，并有处置记录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10.5.3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短半衰期核素固液废弃物放置10个半衰期经检测达标后作为普通废物处理，并有处置记录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10.5.4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涉源</w:t>
            </w:r>
            <w:r>
              <w:rPr>
                <w:kern w:val="0"/>
                <w:szCs w:val="21"/>
              </w:rPr>
              <w:t>实验场所退役，须按国家相关规定</w:t>
            </w:r>
            <w:r>
              <w:rPr>
                <w:rFonts w:hint="eastAsia"/>
                <w:kern w:val="0"/>
                <w:szCs w:val="21"/>
              </w:rPr>
              <w:t>执行</w:t>
            </w:r>
            <w:r>
              <w:rPr>
                <w:kern w:val="0"/>
                <w:szCs w:val="21"/>
              </w:rPr>
              <w:t>，</w:t>
            </w:r>
            <w:r>
              <w:rPr>
                <w:rFonts w:hint="eastAsia"/>
                <w:kern w:val="0"/>
                <w:szCs w:val="21"/>
              </w:rPr>
              <w:t>完成</w:t>
            </w:r>
            <w:r>
              <w:rPr>
                <w:kern w:val="0"/>
                <w:szCs w:val="21"/>
              </w:rPr>
              <w:t>后有政府</w:t>
            </w:r>
            <w:r>
              <w:rPr>
                <w:rFonts w:hint="eastAsia"/>
                <w:kern w:val="0"/>
                <w:szCs w:val="21"/>
              </w:rPr>
              <w:t>部门同意</w:t>
            </w:r>
            <w:r>
              <w:rPr>
                <w:kern w:val="0"/>
                <w:szCs w:val="21"/>
              </w:rPr>
              <w:t>退役及</w:t>
            </w:r>
            <w:r>
              <w:rPr>
                <w:rFonts w:hint="eastAsia"/>
                <w:kern w:val="0"/>
                <w:szCs w:val="21"/>
              </w:rPr>
              <w:t>无限制</w:t>
            </w:r>
            <w:r>
              <w:rPr>
                <w:kern w:val="0"/>
                <w:szCs w:val="21"/>
              </w:rPr>
              <w:t>开放使用</w:t>
            </w:r>
            <w:r>
              <w:rPr>
                <w:rFonts w:hint="eastAsia"/>
                <w:kern w:val="0"/>
                <w:szCs w:val="21"/>
              </w:rPr>
              <w:t>的</w:t>
            </w:r>
            <w:r>
              <w:rPr>
                <w:kern w:val="0"/>
                <w:szCs w:val="21"/>
              </w:rPr>
              <w:t>批复</w:t>
            </w:r>
            <w:r>
              <w:rPr>
                <w:rFonts w:hint="eastAsia"/>
                <w:kern w:val="0"/>
                <w:szCs w:val="21"/>
              </w:rPr>
              <w:t>，或者有限</w:t>
            </w:r>
            <w:r>
              <w:rPr>
                <w:kern w:val="0"/>
                <w:szCs w:val="21"/>
              </w:rPr>
              <w:t>开放使用的环境影响评价批复</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11</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机电等</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11.1</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仪器设备</w:t>
            </w:r>
            <w:r>
              <w:rPr>
                <w:b/>
                <w:kern w:val="0"/>
                <w:szCs w:val="21"/>
              </w:rPr>
              <w:t>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11.1.1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建立了设备台帐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实名制管理</w:t>
            </w:r>
          </w:p>
        </w:tc>
        <w:tc>
          <w:tcPr>
            <w:tcW w:w="3260" w:type="dxa"/>
            <w:shd w:val="clear" w:color="auto" w:fill="auto"/>
            <w:tcMar>
              <w:left w:w="45" w:type="dxa"/>
              <w:right w:w="45" w:type="dxa"/>
            </w:tcMar>
            <w:vAlign w:val="center"/>
          </w:tcPr>
          <w:p>
            <w:pPr>
              <w:widowControl/>
              <w:spacing w:line="300" w:lineRule="exact"/>
              <w:jc w:val="left"/>
              <w:rPr>
                <w:b/>
                <w:bCs/>
                <w:kern w:val="0"/>
                <w:szCs w:val="21"/>
              </w:rPr>
            </w:pPr>
            <w:r>
              <w:rPr>
                <w:rFonts w:hint="eastAsia"/>
                <w:kern w:val="0"/>
                <w:szCs w:val="21"/>
              </w:rPr>
              <w:t>查看电子或纸质台帐</w:t>
            </w:r>
          </w:p>
        </w:tc>
        <w:tc>
          <w:tcPr>
            <w:tcW w:w="599" w:type="dxa"/>
            <w:tcMar>
              <w:left w:w="45" w:type="dxa"/>
              <w:right w:w="45" w:type="dxa"/>
            </w:tcMar>
            <w:vAlign w:val="center"/>
          </w:tcPr>
          <w:p>
            <w:pPr>
              <w:widowControl/>
              <w:spacing w:line="300" w:lineRule="exact"/>
              <w:jc w:val="center"/>
              <w:rPr>
                <w:rFonts w:hint="eastAsia" w:eastAsia="宋体"/>
                <w:b/>
                <w:bCs/>
                <w:kern w:val="0"/>
                <w:szCs w:val="21"/>
                <w:lang w:eastAsia="zh-CN"/>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11.1.2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查看电源配电箱、地线</w:t>
            </w:r>
          </w:p>
        </w:tc>
        <w:tc>
          <w:tcPr>
            <w:tcW w:w="599" w:type="dxa"/>
            <w:tcMar>
              <w:left w:w="45" w:type="dxa"/>
              <w:right w:w="45" w:type="dxa"/>
            </w:tcMar>
            <w:vAlign w:val="center"/>
          </w:tcPr>
          <w:p>
            <w:pPr>
              <w:widowControl/>
              <w:spacing w:line="300" w:lineRule="exact"/>
              <w:jc w:val="center"/>
              <w:rPr>
                <w:rFonts w:hint="eastAsia" w:eastAsia="宋体"/>
                <w:b/>
                <w:bCs/>
                <w:kern w:val="0"/>
                <w:szCs w:val="21"/>
                <w:lang w:eastAsia="zh-CN"/>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11.1.3</w:t>
            </w:r>
          </w:p>
        </w:tc>
        <w:tc>
          <w:tcPr>
            <w:tcW w:w="5810" w:type="dxa"/>
            <w:shd w:val="clear" w:color="auto" w:fill="auto"/>
            <w:tcMar>
              <w:left w:w="45" w:type="dxa"/>
              <w:right w:w="45" w:type="dxa"/>
            </w:tcMar>
            <w:vAlign w:val="center"/>
          </w:tcPr>
          <w:p>
            <w:pPr>
              <w:spacing w:line="300" w:lineRule="exact"/>
              <w:rPr>
                <w:szCs w:val="21"/>
              </w:rPr>
            </w:pPr>
            <w:r>
              <w:rPr>
                <w:rFonts w:hint="eastAsia"/>
                <w:szCs w:val="21"/>
              </w:rPr>
              <w:t>仪器设备接地系统应按规范要求，采用铜质材料，且设计寿命不应低于50年</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szCs w:val="21"/>
              </w:rPr>
              <w:t>接地电阻不高于0.5欧</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kern w:val="0"/>
                <w:szCs w:val="21"/>
              </w:rPr>
              <w:t>11.1.4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w:t>
            </w:r>
            <w:r>
              <w:rPr>
                <w:rFonts w:hint="eastAsia"/>
                <w:kern w:val="0"/>
                <w:szCs w:val="21"/>
              </w:rPr>
              <w:t>大型、特种</w:t>
            </w:r>
            <w:r>
              <w:rPr>
                <w:kern w:val="0"/>
                <w:szCs w:val="21"/>
              </w:rPr>
              <w:t>仪器设备运行、维护的记录</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查看记录及维修、维护周期</w:t>
            </w:r>
          </w:p>
        </w:tc>
        <w:tc>
          <w:tcPr>
            <w:tcW w:w="599" w:type="dxa"/>
            <w:tcMar>
              <w:left w:w="45" w:type="dxa"/>
              <w:right w:w="45" w:type="dxa"/>
            </w:tcMar>
            <w:vAlign w:val="center"/>
          </w:tcPr>
          <w:p>
            <w:pPr>
              <w:widowControl/>
              <w:spacing w:line="300" w:lineRule="exact"/>
              <w:jc w:val="center"/>
              <w:rPr>
                <w:rFonts w:hint="eastAsia" w:eastAsia="宋体"/>
                <w:b/>
                <w:bCs/>
                <w:kern w:val="0"/>
                <w:szCs w:val="21"/>
                <w:lang w:eastAsia="zh-CN"/>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rFonts w:hint="default" w:eastAsia="宋体"/>
                <w:b/>
                <w:bCs/>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kern w:val="0"/>
                <w:szCs w:val="21"/>
              </w:rPr>
              <w:t>11.1.5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电脑、空调、</w:t>
            </w:r>
            <w:r>
              <w:rPr>
                <w:rFonts w:hint="eastAsia"/>
                <w:kern w:val="0"/>
                <w:szCs w:val="21"/>
              </w:rPr>
              <w:t>电加热器、</w:t>
            </w:r>
            <w:r>
              <w:rPr>
                <w:kern w:val="0"/>
                <w:szCs w:val="21"/>
              </w:rPr>
              <w:t>饮水机等</w:t>
            </w:r>
            <w:r>
              <w:rPr>
                <w:rFonts w:hint="eastAsia"/>
                <w:kern w:val="0"/>
                <w:szCs w:val="21"/>
              </w:rPr>
              <w:t>不随意</w:t>
            </w:r>
            <w:r>
              <w:rPr>
                <w:kern w:val="0"/>
                <w:szCs w:val="21"/>
              </w:rPr>
              <w:t>开机过夜</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检查相关规定</w:t>
            </w:r>
          </w:p>
        </w:tc>
        <w:tc>
          <w:tcPr>
            <w:tcW w:w="599" w:type="dxa"/>
            <w:tcMar>
              <w:left w:w="45" w:type="dxa"/>
              <w:right w:w="45" w:type="dxa"/>
            </w:tcMar>
            <w:vAlign w:val="center"/>
          </w:tcPr>
          <w:p>
            <w:pPr>
              <w:widowControl/>
              <w:spacing w:line="300" w:lineRule="exact"/>
              <w:jc w:val="center"/>
              <w:rPr>
                <w:rFonts w:hint="eastAsia" w:eastAsia="宋体"/>
                <w:b/>
                <w:bCs/>
                <w:kern w:val="0"/>
                <w:szCs w:val="21"/>
                <w:lang w:eastAsia="zh-CN"/>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kern w:val="0"/>
                <w:szCs w:val="21"/>
              </w:rPr>
              <w:t>11.1.6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有手册或规范明示牌</w:t>
            </w:r>
          </w:p>
        </w:tc>
        <w:tc>
          <w:tcPr>
            <w:tcW w:w="599" w:type="dxa"/>
            <w:tcMar>
              <w:left w:w="45" w:type="dxa"/>
              <w:right w:w="45" w:type="dxa"/>
            </w:tcMar>
            <w:vAlign w:val="center"/>
          </w:tcPr>
          <w:p>
            <w:pPr>
              <w:widowControl/>
              <w:spacing w:line="300" w:lineRule="exact"/>
              <w:jc w:val="center"/>
              <w:rPr>
                <w:rFonts w:hint="eastAsia" w:eastAsia="宋体"/>
                <w:b/>
                <w:bCs/>
                <w:kern w:val="0"/>
                <w:szCs w:val="21"/>
                <w:lang w:eastAsia="zh-CN"/>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11.1.7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昼夜工作的设备要有实时监控设施</w:t>
            </w:r>
          </w:p>
        </w:tc>
        <w:tc>
          <w:tcPr>
            <w:tcW w:w="599" w:type="dxa"/>
            <w:tcMar>
              <w:left w:w="45" w:type="dxa"/>
              <w:right w:w="45" w:type="dxa"/>
            </w:tcMar>
            <w:vAlign w:val="center"/>
          </w:tcPr>
          <w:p>
            <w:pPr>
              <w:widowControl/>
              <w:spacing w:line="300" w:lineRule="exact"/>
              <w:jc w:val="center"/>
              <w:rPr>
                <w:rFonts w:hint="eastAsia" w:eastAsia="宋体"/>
                <w:b/>
                <w:bCs/>
                <w:kern w:val="0"/>
                <w:szCs w:val="21"/>
                <w:lang w:eastAsia="zh-CN"/>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11.1.8</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对于高温、高压、高速运动、电磁辐射等特殊设备，对使用者有培训要求，有安全警示标识和</w:t>
            </w:r>
            <w:r>
              <w:rPr>
                <w:szCs w:val="21"/>
              </w:rPr>
              <w:t>安全警示线（黄色）</w:t>
            </w:r>
            <w:r>
              <w:rPr>
                <w:kern w:val="0"/>
                <w:szCs w:val="21"/>
              </w:rPr>
              <w:t>，并配备相应安全防护设施</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检查培训记录、</w:t>
            </w:r>
            <w:r>
              <w:rPr>
                <w:kern w:val="0"/>
                <w:szCs w:val="21"/>
              </w:rPr>
              <w:t>防护罩、防护栏、自屏蔽设施等</w:t>
            </w:r>
          </w:p>
        </w:tc>
        <w:tc>
          <w:tcPr>
            <w:tcW w:w="599" w:type="dxa"/>
            <w:tcMar>
              <w:left w:w="45" w:type="dxa"/>
              <w:right w:w="45" w:type="dxa"/>
            </w:tcMar>
            <w:vAlign w:val="center"/>
          </w:tcPr>
          <w:p>
            <w:pPr>
              <w:widowControl/>
              <w:spacing w:line="300" w:lineRule="exact"/>
              <w:jc w:val="center"/>
              <w:rPr>
                <w:rFonts w:hint="eastAsia" w:eastAsia="宋体"/>
                <w:b/>
                <w:bCs/>
                <w:kern w:val="0"/>
                <w:szCs w:val="21"/>
                <w:lang w:eastAsia="zh-CN"/>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11.1.9</w:t>
            </w:r>
          </w:p>
        </w:tc>
        <w:tc>
          <w:tcPr>
            <w:tcW w:w="5810" w:type="dxa"/>
            <w:shd w:val="clear" w:color="auto" w:fill="auto"/>
            <w:tcMar>
              <w:left w:w="45" w:type="dxa"/>
              <w:right w:w="45" w:type="dxa"/>
            </w:tcMar>
            <w:vAlign w:val="center"/>
          </w:tcPr>
          <w:p>
            <w:pPr>
              <w:widowControl/>
              <w:spacing w:line="300" w:lineRule="exact"/>
              <w:jc w:val="left"/>
              <w:rPr>
                <w:kern w:val="0"/>
                <w:szCs w:val="21"/>
              </w:rPr>
            </w:pPr>
            <w:r>
              <w:rPr>
                <w:szCs w:val="21"/>
              </w:rPr>
              <w:t>对于超高速离心机，需要放置在离心室</w:t>
            </w:r>
            <w:r>
              <w:rPr>
                <w:rFonts w:hint="eastAsia"/>
                <w:szCs w:val="21"/>
              </w:rPr>
              <w:t>。</w:t>
            </w:r>
            <w:r>
              <w:rPr>
                <w:szCs w:val="21"/>
              </w:rPr>
              <w:t>在离心过程中，工作人员</w:t>
            </w:r>
            <w:r>
              <w:rPr>
                <w:rFonts w:hint="eastAsia"/>
                <w:szCs w:val="21"/>
              </w:rPr>
              <w:t>须</w:t>
            </w:r>
            <w:r>
              <w:rPr>
                <w:szCs w:val="21"/>
              </w:rPr>
              <w:t>保持安全距离</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检查是否有安全空间</w:t>
            </w:r>
          </w:p>
        </w:tc>
        <w:tc>
          <w:tcPr>
            <w:tcW w:w="599" w:type="dxa"/>
            <w:tcMar>
              <w:left w:w="45" w:type="dxa"/>
              <w:right w:w="45" w:type="dxa"/>
            </w:tcMar>
            <w:vAlign w:val="center"/>
          </w:tcPr>
          <w:p>
            <w:pPr>
              <w:widowControl/>
              <w:spacing w:line="300" w:lineRule="exact"/>
              <w:jc w:val="center"/>
              <w:rPr>
                <w:rFonts w:hint="eastAsia" w:eastAsia="宋体"/>
                <w:b/>
                <w:bCs/>
                <w:kern w:val="0"/>
                <w:szCs w:val="21"/>
                <w:lang w:eastAsia="zh-CN"/>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11.1.10</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电子天平不放在阳光直射的地方，且用后及时清理</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检查避光、遮光</w:t>
            </w:r>
          </w:p>
        </w:tc>
        <w:tc>
          <w:tcPr>
            <w:tcW w:w="599" w:type="dxa"/>
            <w:tcMar>
              <w:left w:w="45" w:type="dxa"/>
              <w:right w:w="45" w:type="dxa"/>
            </w:tcMar>
            <w:vAlign w:val="center"/>
          </w:tcPr>
          <w:p>
            <w:pPr>
              <w:widowControl/>
              <w:spacing w:line="300" w:lineRule="exact"/>
              <w:jc w:val="center"/>
              <w:rPr>
                <w:rFonts w:hint="eastAsia" w:eastAsia="宋体"/>
                <w:b/>
                <w:bCs/>
                <w:kern w:val="0"/>
                <w:szCs w:val="21"/>
                <w:lang w:eastAsia="zh-CN"/>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11.1.11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自研自制设备时，须充分考虑安全系数，并有安全防护措施</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查看现场、资料</w:t>
            </w:r>
          </w:p>
        </w:tc>
        <w:tc>
          <w:tcPr>
            <w:tcW w:w="599" w:type="dxa"/>
            <w:tcMar>
              <w:left w:w="45" w:type="dxa"/>
              <w:right w:w="45" w:type="dxa"/>
            </w:tcMar>
            <w:vAlign w:val="center"/>
          </w:tcPr>
          <w:p>
            <w:pPr>
              <w:widowControl/>
              <w:spacing w:line="300" w:lineRule="exact"/>
              <w:jc w:val="center"/>
              <w:rPr>
                <w:rFonts w:hint="eastAsia" w:eastAsia="宋体"/>
                <w:b/>
                <w:bCs/>
                <w:kern w:val="0"/>
                <w:szCs w:val="21"/>
                <w:lang w:eastAsia="zh-CN"/>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11.2</w:t>
            </w:r>
          </w:p>
        </w:tc>
        <w:tc>
          <w:tcPr>
            <w:tcW w:w="13524" w:type="dxa"/>
            <w:gridSpan w:val="6"/>
            <w:shd w:val="clear" w:color="auto" w:fill="auto"/>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机械</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11.3</w:t>
            </w:r>
          </w:p>
        </w:tc>
        <w:tc>
          <w:tcPr>
            <w:tcW w:w="13524" w:type="dxa"/>
            <w:gridSpan w:val="6"/>
            <w:shd w:val="clear" w:color="auto" w:fill="auto"/>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电气</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11.3.1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 xml:space="preserve">电气设备所用的保险丝(管)的额定电流应与其负荷容量相适应，无用其它金属线代替保险丝(片)现象 </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检查设备及要求</w:t>
            </w:r>
          </w:p>
        </w:tc>
        <w:tc>
          <w:tcPr>
            <w:tcW w:w="599" w:type="dxa"/>
            <w:tcMar>
              <w:left w:w="45" w:type="dxa"/>
              <w:right w:w="45" w:type="dxa"/>
            </w:tcMar>
            <w:vAlign w:val="center"/>
          </w:tcPr>
          <w:p>
            <w:pPr>
              <w:widowControl/>
              <w:spacing w:line="300" w:lineRule="exact"/>
              <w:jc w:val="center"/>
              <w:rPr>
                <w:rFonts w:hint="eastAsia" w:eastAsia="宋体"/>
                <w:b/>
                <w:bCs/>
                <w:kern w:val="0"/>
                <w:szCs w:val="21"/>
                <w:lang w:val="en-US" w:eastAsia="zh-CN"/>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11.3.2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检查室内机及设备配电</w:t>
            </w:r>
          </w:p>
        </w:tc>
        <w:tc>
          <w:tcPr>
            <w:tcW w:w="599" w:type="dxa"/>
            <w:tcMar>
              <w:left w:w="45" w:type="dxa"/>
              <w:right w:w="45" w:type="dxa"/>
            </w:tcMar>
            <w:vAlign w:val="center"/>
          </w:tcPr>
          <w:p>
            <w:pPr>
              <w:widowControl/>
              <w:spacing w:line="300" w:lineRule="exact"/>
              <w:jc w:val="center"/>
              <w:rPr>
                <w:rFonts w:hint="eastAsia" w:eastAsia="宋体"/>
                <w:b/>
                <w:bCs/>
                <w:kern w:val="0"/>
                <w:szCs w:val="21"/>
                <w:lang w:val="en-US" w:eastAsia="zh-CN"/>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kern w:val="0"/>
                <w:szCs w:val="21"/>
              </w:rPr>
              <w:t>11.3.8</w:t>
            </w:r>
          </w:p>
        </w:tc>
        <w:tc>
          <w:tcPr>
            <w:tcW w:w="5810" w:type="dxa"/>
            <w:shd w:val="clear" w:color="auto" w:fill="auto"/>
            <w:tcMar>
              <w:left w:w="45" w:type="dxa"/>
              <w:right w:w="45" w:type="dxa"/>
            </w:tcMar>
            <w:vAlign w:val="center"/>
          </w:tcPr>
          <w:p>
            <w:pPr>
              <w:spacing w:line="300" w:lineRule="exact"/>
              <w:rPr>
                <w:szCs w:val="21"/>
              </w:rPr>
            </w:pPr>
            <w:r>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检查护具及提示</w:t>
            </w:r>
          </w:p>
        </w:tc>
        <w:tc>
          <w:tcPr>
            <w:tcW w:w="599" w:type="dxa"/>
            <w:tcMar>
              <w:left w:w="45" w:type="dxa"/>
              <w:right w:w="45" w:type="dxa"/>
            </w:tcMar>
            <w:vAlign w:val="center"/>
          </w:tcPr>
          <w:p>
            <w:pPr>
              <w:widowControl/>
              <w:spacing w:line="300" w:lineRule="exact"/>
              <w:jc w:val="center"/>
              <w:rPr>
                <w:rFonts w:hint="eastAsia" w:eastAsia="宋体"/>
                <w:b/>
                <w:bCs/>
                <w:kern w:val="0"/>
                <w:szCs w:val="21"/>
                <w:lang w:eastAsia="zh-CN"/>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rFonts w:hint="default" w:eastAsia="宋体"/>
                <w:b/>
                <w:bCs/>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11.4</w:t>
            </w:r>
          </w:p>
        </w:tc>
        <w:tc>
          <w:tcPr>
            <w:tcW w:w="13524" w:type="dxa"/>
            <w:gridSpan w:val="6"/>
            <w:shd w:val="clear" w:color="auto" w:fill="auto"/>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11.5</w:t>
            </w:r>
          </w:p>
        </w:tc>
        <w:tc>
          <w:tcPr>
            <w:tcW w:w="13524" w:type="dxa"/>
            <w:gridSpan w:val="6"/>
            <w:shd w:val="clear" w:color="auto" w:fill="auto"/>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粉尘</w:t>
            </w:r>
            <w:r>
              <w:rPr>
                <w:rFonts w:hint="eastAsia"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12</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12.1</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起重类</w:t>
            </w:r>
            <w:r>
              <w:rPr>
                <w:b/>
                <w:kern w:val="0"/>
                <w:szCs w:val="21"/>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12.2</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12.2.1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0.1MP</w:t>
            </w:r>
            <w:r>
              <w:rPr>
                <w:kern w:val="0"/>
                <w:szCs w:val="21"/>
              </w:rPr>
              <w:t>a</w:t>
            </w:r>
            <w:r>
              <w:rPr>
                <w:rFonts w:hint="eastAsia"/>
                <w:kern w:val="0"/>
                <w:szCs w:val="21"/>
              </w:rPr>
              <w:t>且</w:t>
            </w:r>
            <w:r>
              <w:rPr>
                <w:kern w:val="0"/>
                <w:szCs w:val="21"/>
              </w:rPr>
              <w:t>容积大于</w:t>
            </w:r>
            <w:r>
              <w:rPr>
                <w:rFonts w:hint="eastAsia"/>
                <w:kern w:val="0"/>
                <w:szCs w:val="21"/>
              </w:rPr>
              <w:t>30L的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设备铭牌上标明为简单压力容器不需办理</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12.2.4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查看资料</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12.2.5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原则上不超期使用。对于已达设计使用年限，或未规定使用年限但已超过20年的固定式压力容器，如需继续使用的，应当委托有资质机构进行检验，经单位主要负责人批准后，办理使用登记证书变更，方可继续使用</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新的证书</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12.2.6</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大型实验气体（窒息、可燃类）罐必须放置在室外，周围设置隔离装置、安全警示标识</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有隔离装置，坚固牢靠</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12.2.7</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可燃性</w:t>
            </w:r>
            <w:r>
              <w:rPr>
                <w:kern w:val="0"/>
                <w:szCs w:val="21"/>
              </w:rPr>
              <w:t>气罐远离火源热源</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12.2.8</w:t>
            </w:r>
          </w:p>
        </w:tc>
        <w:tc>
          <w:tcPr>
            <w:tcW w:w="581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电气设施是否防爆，避雷装置是否接地</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12.2.9</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制定大型气体罐管理制度和操作规程，落实</w:t>
            </w:r>
            <w:r>
              <w:rPr>
                <w:kern w:val="0"/>
                <w:szCs w:val="21"/>
              </w:rPr>
              <w:t>维护、保养及安全责任制</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在明显处张贴操作</w:t>
            </w:r>
            <w:r>
              <w:rPr>
                <w:kern w:val="0"/>
                <w:szCs w:val="21"/>
              </w:rPr>
              <w:t>规程</w:t>
            </w:r>
            <w:r>
              <w:rPr>
                <w:rFonts w:hint="eastAsia"/>
                <w:kern w:val="0"/>
                <w:szCs w:val="21"/>
              </w:rPr>
              <w:t>、</w:t>
            </w:r>
            <w:r>
              <w:rPr>
                <w:kern w:val="0"/>
                <w:szCs w:val="21"/>
              </w:rPr>
              <w:t>责任标牌</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12.2.10</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 xml:space="preserve">实行使用登记制度，及时填写“使用登记表” </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使用登记表内容完整</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12.2.11</w:t>
            </w:r>
          </w:p>
        </w:tc>
        <w:tc>
          <w:tcPr>
            <w:tcW w:w="5810" w:type="dxa"/>
            <w:shd w:val="clear" w:color="auto" w:fill="auto"/>
            <w:tcMar>
              <w:left w:w="45" w:type="dxa"/>
              <w:right w:w="45" w:type="dxa"/>
            </w:tcMar>
            <w:vAlign w:val="center"/>
          </w:tcPr>
          <w:p>
            <w:pPr>
              <w:spacing w:line="300" w:lineRule="exact"/>
              <w:rPr>
                <w:kern w:val="0"/>
                <w:szCs w:val="21"/>
              </w:rPr>
            </w:pPr>
            <w:r>
              <w:rPr>
                <w:kern w:val="0"/>
                <w:szCs w:val="21"/>
              </w:rPr>
              <w:t>定期检查</w:t>
            </w:r>
            <w:r>
              <w:rPr>
                <w:rFonts w:hint="eastAsia"/>
                <w:kern w:val="0"/>
                <w:szCs w:val="21"/>
              </w:rPr>
              <w:t>大型实验气体罐外表涂色、腐蚀、变形、磨损、裂纹，附件是否齐全、完好</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有检查表记录</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12.3</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12.4</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冰箱管理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12.4.1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贮存危险化学品的冰箱为防爆冰箱或经过防爆改造的冰箱，禁止使用无霜</w:t>
            </w:r>
            <w:r>
              <w:rPr>
                <w:rFonts w:hint="eastAsia"/>
                <w:kern w:val="0"/>
                <w:szCs w:val="21"/>
              </w:rPr>
              <w:t>型</w:t>
            </w:r>
            <w:r>
              <w:rPr>
                <w:kern w:val="0"/>
                <w:szCs w:val="21"/>
              </w:rPr>
              <w:t>冰箱储存易燃易爆试剂</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无</w:t>
            </w:r>
            <w:r>
              <w:rPr>
                <w:kern w:val="0"/>
                <w:szCs w:val="21"/>
              </w:rPr>
              <w:t>防爆措施冰箱内不能放置易燃易爆化学品</w:t>
            </w:r>
            <w:r>
              <w:rPr>
                <w:rFonts w:hint="eastAsia"/>
                <w:kern w:val="0"/>
                <w:szCs w:val="21"/>
              </w:rPr>
              <w:t>，</w:t>
            </w:r>
            <w:r>
              <w:rPr>
                <w:kern w:val="0"/>
                <w:szCs w:val="21"/>
              </w:rPr>
              <w:t>冰箱门上应注明</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12.4.2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查看冰箱及</w:t>
            </w:r>
            <w:r>
              <w:rPr>
                <w:kern w:val="0"/>
                <w:szCs w:val="21"/>
              </w:rPr>
              <w:t>清理记录</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12.4.3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冰箱内储存试剂必须密封好</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螺口拧紧，无开口容器</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12.4.4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超期服役（一般使用期限控制为10年）</w:t>
            </w:r>
            <w:r>
              <w:rPr>
                <w:rFonts w:hint="eastAsia"/>
                <w:kern w:val="0"/>
                <w:szCs w:val="21"/>
              </w:rPr>
              <w:t>，</w:t>
            </w:r>
            <w:r>
              <w:rPr>
                <w:color w:val="0000FF"/>
                <w:kern w:val="0"/>
                <w:szCs w:val="21"/>
              </w:rPr>
              <w:t>如超期</w:t>
            </w:r>
            <w:r>
              <w:rPr>
                <w:rFonts w:hint="eastAsia"/>
                <w:color w:val="0000FF"/>
                <w:kern w:val="0"/>
                <w:szCs w:val="21"/>
              </w:rPr>
              <w:t>使用</w:t>
            </w:r>
            <w:r>
              <w:rPr>
                <w:color w:val="0000FF"/>
                <w:kern w:val="0"/>
                <w:szCs w:val="21"/>
              </w:rPr>
              <w:t>需</w:t>
            </w:r>
            <w:r>
              <w:rPr>
                <w:rFonts w:hint="eastAsia"/>
                <w:color w:val="0000FF"/>
                <w:kern w:val="0"/>
                <w:szCs w:val="21"/>
              </w:rPr>
              <w:t>经</w:t>
            </w:r>
            <w:r>
              <w:rPr>
                <w:color w:val="0000FF"/>
                <w:kern w:val="0"/>
                <w:szCs w:val="21"/>
              </w:rPr>
              <w:t>审批</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rFonts w:hint="default" w:eastAsia="宋体"/>
                <w:bCs/>
                <w:kern w:val="0"/>
                <w:szCs w:val="21"/>
                <w:lang w:val="en-US" w:eastAsia="zh-CN"/>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eastAsia" w:eastAsia="宋体"/>
                <w:bCs/>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12.4.5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左右</w:t>
            </w:r>
            <w:r>
              <w:rPr>
                <w:kern w:val="0"/>
                <w:szCs w:val="21"/>
              </w:rPr>
              <w:t>及</w:t>
            </w:r>
            <w:r>
              <w:rPr>
                <w:rFonts w:hint="eastAsia"/>
                <w:kern w:val="0"/>
                <w:szCs w:val="21"/>
              </w:rPr>
              <w:t>后部留</w:t>
            </w:r>
            <w:r>
              <w:rPr>
                <w:kern w:val="0"/>
                <w:szCs w:val="21"/>
              </w:rPr>
              <w:t>出10cm</w:t>
            </w:r>
            <w:r>
              <w:rPr>
                <w:rFonts w:hint="eastAsia"/>
                <w:kern w:val="0"/>
                <w:szCs w:val="21"/>
              </w:rPr>
              <w:t>，</w:t>
            </w:r>
            <w:r>
              <w:rPr>
                <w:kern w:val="0"/>
                <w:szCs w:val="21"/>
              </w:rPr>
              <w:t>上部最少30cm的距离</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12.4.6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实验室冰箱中不放置食品</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实验区和办公生活区严格区分</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12.5</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烘箱与电阻炉管理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12.5.1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烘箱、电阻炉</w:t>
            </w:r>
            <w:r>
              <w:rPr>
                <w:rFonts w:hint="eastAsia"/>
                <w:kern w:val="0"/>
                <w:szCs w:val="21"/>
              </w:rPr>
              <w:t>不</w:t>
            </w:r>
            <w:r>
              <w:rPr>
                <w:kern w:val="0"/>
                <w:szCs w:val="21"/>
              </w:rPr>
              <w:t>超期服役（一般使用期限控制为12年）</w:t>
            </w:r>
            <w:r>
              <w:rPr>
                <w:rFonts w:hint="eastAsia"/>
                <w:kern w:val="0"/>
                <w:szCs w:val="21"/>
              </w:rPr>
              <w:t>，</w:t>
            </w:r>
            <w:r>
              <w:rPr>
                <w:color w:val="0000FF"/>
                <w:kern w:val="0"/>
                <w:szCs w:val="21"/>
              </w:rPr>
              <w:t>如超期</w:t>
            </w:r>
            <w:r>
              <w:rPr>
                <w:rFonts w:hint="eastAsia"/>
                <w:color w:val="0000FF"/>
                <w:kern w:val="0"/>
                <w:szCs w:val="21"/>
              </w:rPr>
              <w:t>使用需经</w:t>
            </w:r>
            <w:r>
              <w:rPr>
                <w:color w:val="0000FF"/>
                <w:kern w:val="0"/>
                <w:szCs w:val="21"/>
              </w:rPr>
              <w:t>审批</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599" w:type="dxa"/>
            <w:tcMar>
              <w:left w:w="45" w:type="dxa"/>
              <w:right w:w="45" w:type="dxa"/>
            </w:tcMar>
            <w:vAlign w:val="center"/>
          </w:tcPr>
          <w:p>
            <w:pPr>
              <w:widowControl/>
              <w:spacing w:line="300" w:lineRule="exact"/>
              <w:jc w:val="center"/>
              <w:rPr>
                <w:rFonts w:hint="eastAsia" w:eastAsia="宋体"/>
                <w:kern w:val="0"/>
                <w:szCs w:val="21"/>
                <w:lang w:val="en-US" w:eastAsia="zh-CN"/>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12.5.2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烘箱、电阻炉</w:t>
            </w:r>
            <w:r>
              <w:rPr>
                <w:rFonts w:hint="eastAsia"/>
                <w:kern w:val="0"/>
                <w:szCs w:val="21"/>
              </w:rPr>
              <w:t>不</w:t>
            </w:r>
            <w:r>
              <w:rPr>
                <w:kern w:val="0"/>
                <w:szCs w:val="21"/>
              </w:rPr>
              <w:t>使用接线板供电</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w:t>
            </w:r>
          </w:p>
        </w:tc>
        <w:tc>
          <w:tcPr>
            <w:tcW w:w="599" w:type="dxa"/>
            <w:tcMar>
              <w:left w:w="45" w:type="dxa"/>
              <w:right w:w="45" w:type="dxa"/>
            </w:tcMar>
            <w:vAlign w:val="center"/>
          </w:tcPr>
          <w:p>
            <w:pPr>
              <w:widowControl/>
              <w:spacing w:line="300" w:lineRule="exact"/>
              <w:jc w:val="center"/>
              <w:rPr>
                <w:rFonts w:hint="eastAsia" w:eastAsia="宋体"/>
                <w:kern w:val="0"/>
                <w:szCs w:val="21"/>
                <w:lang w:val="en-US" w:eastAsia="zh-CN"/>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12.5.3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不使用有故障、破损的烘箱、电阻炉</w:t>
            </w:r>
            <w:r>
              <w:rPr>
                <w:rFonts w:hint="eastAsia"/>
                <w:kern w:val="0"/>
                <w:szCs w:val="21"/>
              </w:rPr>
              <w:t>；</w:t>
            </w:r>
            <w:r>
              <w:rPr>
                <w:kern w:val="0"/>
                <w:szCs w:val="21"/>
              </w:rPr>
              <w:t>烘箱放置位置</w:t>
            </w:r>
            <w:r>
              <w:rPr>
                <w:rFonts w:hint="eastAsia"/>
                <w:kern w:val="0"/>
                <w:szCs w:val="21"/>
              </w:rPr>
              <w:t>、</w:t>
            </w:r>
            <w:r>
              <w:rPr>
                <w:kern w:val="0"/>
                <w:szCs w:val="21"/>
              </w:rPr>
              <w:t>高度</w:t>
            </w:r>
            <w:r>
              <w:rPr>
                <w:rFonts w:hint="eastAsia"/>
                <w:kern w:val="0"/>
                <w:szCs w:val="21"/>
              </w:rPr>
              <w:t>合适，方便操作</w:t>
            </w:r>
          </w:p>
        </w:tc>
        <w:tc>
          <w:tcPr>
            <w:tcW w:w="3260" w:type="dxa"/>
            <w:shd w:val="clear" w:color="auto" w:fill="auto"/>
            <w:tcMar>
              <w:left w:w="45" w:type="dxa"/>
              <w:right w:w="45" w:type="dxa"/>
            </w:tcMar>
            <w:vAlign w:val="center"/>
          </w:tcPr>
          <w:p>
            <w:pPr>
              <w:widowControl/>
              <w:spacing w:line="300" w:lineRule="exact"/>
              <w:rPr>
                <w:kern w:val="0"/>
                <w:szCs w:val="21"/>
              </w:rPr>
            </w:pPr>
            <w:r>
              <w:rPr>
                <w:rFonts w:hint="eastAsia"/>
                <w:kern w:val="0"/>
                <w:szCs w:val="21"/>
              </w:rPr>
              <w:t>烘箱门的取用</w:t>
            </w:r>
            <w:r>
              <w:rPr>
                <w:kern w:val="0"/>
                <w:szCs w:val="21"/>
              </w:rPr>
              <w:t>高度</w:t>
            </w:r>
            <w:r>
              <w:rPr>
                <w:rFonts w:hint="eastAsia"/>
                <w:kern w:val="0"/>
                <w:szCs w:val="21"/>
              </w:rPr>
              <w:t>以</w:t>
            </w:r>
            <w:r>
              <w:rPr>
                <w:kern w:val="0"/>
                <w:szCs w:val="21"/>
              </w:rPr>
              <w:t>人员不下蹲</w:t>
            </w:r>
            <w:r>
              <w:rPr>
                <w:rFonts w:hint="eastAsia"/>
                <w:kern w:val="0"/>
                <w:szCs w:val="21"/>
              </w:rPr>
              <w:t>或</w:t>
            </w:r>
            <w:r>
              <w:rPr>
                <w:kern w:val="0"/>
                <w:szCs w:val="21"/>
              </w:rPr>
              <w:t>不</w:t>
            </w:r>
            <w:r>
              <w:rPr>
                <w:rFonts w:hint="eastAsia"/>
                <w:kern w:val="0"/>
                <w:szCs w:val="21"/>
              </w:rPr>
              <w:t>攀高</w:t>
            </w:r>
            <w:r>
              <w:rPr>
                <w:kern w:val="0"/>
                <w:szCs w:val="21"/>
              </w:rPr>
              <w:t>为宜</w:t>
            </w:r>
          </w:p>
        </w:tc>
        <w:tc>
          <w:tcPr>
            <w:tcW w:w="599" w:type="dxa"/>
            <w:tcMar>
              <w:left w:w="45" w:type="dxa"/>
              <w:right w:w="45" w:type="dxa"/>
            </w:tcMar>
            <w:vAlign w:val="center"/>
          </w:tcPr>
          <w:p>
            <w:pPr>
              <w:widowControl/>
              <w:spacing w:line="300" w:lineRule="exact"/>
              <w:jc w:val="center"/>
              <w:rPr>
                <w:rFonts w:hint="eastAsia" w:eastAsia="宋体"/>
                <w:kern w:val="0"/>
                <w:szCs w:val="21"/>
                <w:lang w:val="en-US" w:eastAsia="zh-CN"/>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12.5.4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烘箱、电阻炉等加热设备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r>
              <w:rPr>
                <w:kern w:val="0"/>
                <w:szCs w:val="21"/>
              </w:rPr>
              <w:t>边上不能放置易燃易爆化学品、气体钢瓶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查看现场</w:t>
            </w:r>
          </w:p>
        </w:tc>
        <w:tc>
          <w:tcPr>
            <w:tcW w:w="599" w:type="dxa"/>
            <w:tcMar>
              <w:left w:w="45" w:type="dxa"/>
              <w:right w:w="45" w:type="dxa"/>
            </w:tcMar>
            <w:vAlign w:val="center"/>
          </w:tcPr>
          <w:p>
            <w:pPr>
              <w:widowControl/>
              <w:spacing w:line="300" w:lineRule="exact"/>
              <w:jc w:val="center"/>
              <w:rPr>
                <w:rFonts w:hint="eastAsia" w:eastAsia="宋体"/>
                <w:kern w:val="0"/>
                <w:szCs w:val="21"/>
                <w:lang w:val="en-US" w:eastAsia="zh-CN"/>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12.5.5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制定安全操作规程，并在周边醒目位置张贴高温警示标识，并有必要的防护措施</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张贴有安全操作规程、警示标识</w:t>
            </w:r>
          </w:p>
        </w:tc>
        <w:tc>
          <w:tcPr>
            <w:tcW w:w="599" w:type="dxa"/>
            <w:tcMar>
              <w:left w:w="45" w:type="dxa"/>
              <w:right w:w="45" w:type="dxa"/>
            </w:tcMar>
            <w:vAlign w:val="center"/>
          </w:tcPr>
          <w:p>
            <w:pPr>
              <w:widowControl/>
              <w:spacing w:line="300" w:lineRule="exact"/>
              <w:jc w:val="center"/>
              <w:rPr>
                <w:kern w:val="0"/>
                <w:szCs w:val="21"/>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rFonts w:hint="default" w:eastAsia="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12.5.6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使用烘箱、电阻炉等加热设备时有人值守（或10-15分钟检查一次）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查看使用记录、</w:t>
            </w:r>
            <w:r>
              <w:rPr>
                <w:kern w:val="0"/>
                <w:szCs w:val="21"/>
              </w:rPr>
              <w:t>在用标识</w:t>
            </w:r>
            <w:r>
              <w:rPr>
                <w:rFonts w:hint="eastAsia"/>
                <w:kern w:val="0"/>
                <w:szCs w:val="21"/>
              </w:rPr>
              <w:t xml:space="preserve"> </w:t>
            </w:r>
          </w:p>
        </w:tc>
        <w:tc>
          <w:tcPr>
            <w:tcW w:w="599" w:type="dxa"/>
            <w:tcMar>
              <w:left w:w="45" w:type="dxa"/>
              <w:right w:w="45" w:type="dxa"/>
            </w:tcMar>
            <w:vAlign w:val="center"/>
          </w:tcPr>
          <w:p>
            <w:pPr>
              <w:widowControl/>
              <w:spacing w:line="300" w:lineRule="exact"/>
              <w:jc w:val="center"/>
              <w:rPr>
                <w:kern w:val="0"/>
                <w:szCs w:val="21"/>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rFonts w:hint="default" w:eastAsia="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12.5.7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应采用</w:t>
            </w:r>
            <w:r>
              <w:rPr>
                <w:kern w:val="0"/>
                <w:szCs w:val="21"/>
              </w:rPr>
              <w:t>搪瓷、不锈钢、玻璃、陶瓷等材料制作的</w:t>
            </w:r>
            <w:r>
              <w:rPr>
                <w:rFonts w:hint="eastAsia"/>
                <w:kern w:val="0"/>
                <w:szCs w:val="21"/>
              </w:rPr>
              <w:t>容器盛放</w:t>
            </w:r>
          </w:p>
        </w:tc>
        <w:tc>
          <w:tcPr>
            <w:tcW w:w="599" w:type="dxa"/>
            <w:tcMar>
              <w:left w:w="45" w:type="dxa"/>
              <w:right w:w="45" w:type="dxa"/>
            </w:tcMar>
            <w:vAlign w:val="center"/>
          </w:tcPr>
          <w:p>
            <w:pPr>
              <w:widowControl/>
              <w:spacing w:line="300" w:lineRule="exact"/>
              <w:jc w:val="center"/>
              <w:rPr>
                <w:rFonts w:hint="eastAsia" w:eastAsia="宋体"/>
                <w:kern w:val="0"/>
                <w:szCs w:val="21"/>
                <w:lang w:val="en-US" w:eastAsia="zh-CN"/>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rFonts w:hint="default" w:eastAsia="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12.5.8</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现场、询问师生</w:t>
            </w:r>
          </w:p>
        </w:tc>
        <w:tc>
          <w:tcPr>
            <w:tcW w:w="599" w:type="dxa"/>
            <w:tcMar>
              <w:left w:w="45" w:type="dxa"/>
              <w:right w:w="45" w:type="dxa"/>
            </w:tcMar>
            <w:vAlign w:val="center"/>
          </w:tcPr>
          <w:p>
            <w:pPr>
              <w:widowControl/>
              <w:spacing w:line="300" w:lineRule="exact"/>
              <w:jc w:val="center"/>
              <w:rPr>
                <w:rFonts w:hint="eastAsia" w:eastAsia="宋体"/>
                <w:kern w:val="0"/>
                <w:szCs w:val="21"/>
                <w:lang w:val="en-US" w:eastAsia="zh-CN"/>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12.6</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明火电炉与电吹风等管理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12.6.1</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举措</w:t>
            </w:r>
            <w:r>
              <w:rPr>
                <w:kern w:val="0"/>
                <w:szCs w:val="21"/>
              </w:rPr>
              <w:t>，并经学校安全管理部门</w:t>
            </w:r>
            <w:r>
              <w:rPr>
                <w:rFonts w:hint="eastAsia"/>
                <w:kern w:val="0"/>
                <w:szCs w:val="21"/>
              </w:rPr>
              <w:t>审批办理</w:t>
            </w:r>
            <w:r>
              <w:rPr>
                <w:kern w:val="0"/>
                <w:szCs w:val="21"/>
              </w:rPr>
              <w:t>许可证</w:t>
            </w:r>
            <w:r>
              <w:rPr>
                <w:szCs w:val="21"/>
              </w:rPr>
              <w:t xml:space="preserve"> </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许可证</w:t>
            </w:r>
          </w:p>
        </w:tc>
        <w:tc>
          <w:tcPr>
            <w:tcW w:w="599" w:type="dxa"/>
            <w:tcMar>
              <w:left w:w="45" w:type="dxa"/>
              <w:right w:w="45" w:type="dxa"/>
            </w:tcMar>
            <w:vAlign w:val="center"/>
          </w:tcPr>
          <w:p>
            <w:pPr>
              <w:widowControl/>
              <w:spacing w:line="300" w:lineRule="exact"/>
              <w:jc w:val="center"/>
              <w:rPr>
                <w:kern w:val="0"/>
                <w:szCs w:val="21"/>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rFonts w:hint="default" w:eastAsia="宋体"/>
                <w:kern w:val="0"/>
                <w:szCs w:val="21"/>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12.6.2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pPr>
              <w:widowControl/>
              <w:spacing w:line="300" w:lineRule="exact"/>
              <w:jc w:val="left"/>
              <w:rPr>
                <w:kern w:val="0"/>
                <w:szCs w:val="21"/>
              </w:rPr>
            </w:pPr>
            <w:r>
              <w:rPr>
                <w:kern w:val="0"/>
                <w:szCs w:val="21"/>
              </w:rPr>
              <w:t>2</w:t>
            </w:r>
            <w:r>
              <w:rPr>
                <w:rFonts w:hint="eastAsia"/>
                <w:kern w:val="0"/>
                <w:szCs w:val="21"/>
              </w:rPr>
              <w:t>米</w:t>
            </w:r>
            <w:r>
              <w:rPr>
                <w:kern w:val="0"/>
                <w:szCs w:val="21"/>
              </w:rPr>
              <w:t>内无</w:t>
            </w:r>
            <w:r>
              <w:rPr>
                <w:rFonts w:hint="eastAsia"/>
                <w:kern w:val="0"/>
                <w:szCs w:val="21"/>
              </w:rPr>
              <w:t>易燃</w:t>
            </w:r>
            <w:r>
              <w:rPr>
                <w:kern w:val="0"/>
                <w:szCs w:val="21"/>
              </w:rPr>
              <w:t>易爆化学品</w:t>
            </w:r>
          </w:p>
        </w:tc>
        <w:tc>
          <w:tcPr>
            <w:tcW w:w="599" w:type="dxa"/>
            <w:tcMar>
              <w:left w:w="45" w:type="dxa"/>
              <w:right w:w="45" w:type="dxa"/>
            </w:tcMar>
            <w:vAlign w:val="center"/>
          </w:tcPr>
          <w:p>
            <w:pPr>
              <w:widowControl/>
              <w:spacing w:line="300" w:lineRule="exact"/>
              <w:jc w:val="center"/>
              <w:rPr>
                <w:kern w:val="0"/>
                <w:szCs w:val="21"/>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12.6.3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不使用明火电炉加热易燃易爆</w:t>
            </w:r>
            <w:r>
              <w:rPr>
                <w:rFonts w:hint="eastAsia"/>
                <w:kern w:val="0"/>
                <w:szCs w:val="21"/>
              </w:rPr>
              <w:t>试剂</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现场、询问学生</w:t>
            </w:r>
          </w:p>
        </w:tc>
        <w:tc>
          <w:tcPr>
            <w:tcW w:w="599" w:type="dxa"/>
            <w:tcMar>
              <w:left w:w="45" w:type="dxa"/>
              <w:right w:w="45" w:type="dxa"/>
            </w:tcMar>
            <w:vAlign w:val="center"/>
          </w:tcPr>
          <w:p>
            <w:pPr>
              <w:widowControl/>
              <w:spacing w:line="300" w:lineRule="exact"/>
              <w:jc w:val="center"/>
              <w:rPr>
                <w:rFonts w:hint="eastAsia" w:eastAsia="宋体"/>
                <w:kern w:val="0"/>
                <w:szCs w:val="21"/>
                <w:lang w:val="en-US" w:eastAsia="zh-CN"/>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12.6.4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明火电炉、电吹风、电热枪等用毕，及时拔除电源插头</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查看现场</w:t>
            </w:r>
          </w:p>
        </w:tc>
        <w:tc>
          <w:tcPr>
            <w:tcW w:w="599" w:type="dxa"/>
            <w:tcMar>
              <w:left w:w="45" w:type="dxa"/>
              <w:right w:w="45" w:type="dxa"/>
            </w:tcMar>
            <w:vAlign w:val="center"/>
          </w:tcPr>
          <w:p>
            <w:pPr>
              <w:widowControl/>
              <w:spacing w:line="300" w:lineRule="exact"/>
              <w:jc w:val="center"/>
              <w:rPr>
                <w:rFonts w:hint="eastAsia" w:eastAsia="宋体"/>
                <w:kern w:val="0"/>
                <w:szCs w:val="21"/>
                <w:lang w:val="en-US" w:eastAsia="zh-CN"/>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12.6.5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不能用纸质、木质等材料自制红外灯烘箱</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w:t>
            </w:r>
          </w:p>
        </w:tc>
        <w:tc>
          <w:tcPr>
            <w:tcW w:w="599" w:type="dxa"/>
            <w:tcMar>
              <w:left w:w="45" w:type="dxa"/>
              <w:right w:w="45" w:type="dxa"/>
            </w:tcMar>
            <w:vAlign w:val="center"/>
          </w:tcPr>
          <w:p>
            <w:pPr>
              <w:widowControl/>
              <w:spacing w:line="300" w:lineRule="exact"/>
              <w:jc w:val="center"/>
              <w:rPr>
                <w:rFonts w:hint="eastAsia" w:eastAsia="宋体"/>
                <w:kern w:val="0"/>
                <w:szCs w:val="21"/>
                <w:lang w:val="en-US" w:eastAsia="zh-CN"/>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kern w:val="0"/>
                <w:szCs w:val="21"/>
              </w:rPr>
            </w:pPr>
          </w:p>
        </w:tc>
      </w:tr>
    </w:tbl>
    <w:p>
      <w:pPr>
        <w:adjustRightInd w:val="0"/>
        <w:snapToGrid w:val="0"/>
        <w:spacing w:before="156" w:beforeLines="50"/>
        <w:jc w:val="left"/>
      </w:pPr>
    </w:p>
    <w:sectPr>
      <w:footerReference r:id="rId3" w:type="default"/>
      <w:pgSz w:w="16838" w:h="11906" w:orient="landscape"/>
      <w:pgMar w:top="1247" w:right="1418" w:bottom="1134" w:left="158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文鼎大标宋简">
    <w:altName w:val="宋体"/>
    <w:panose1 w:val="00000000000000000000"/>
    <w:charset w:val="86"/>
    <w:family w:val="roman"/>
    <w:pitch w:val="default"/>
    <w:sig w:usb0="00000000" w:usb1="00000000" w:usb2="00000010" w:usb3="00000000" w:csb0="00040000" w:csb1="00000000"/>
  </w:font>
  <w:font w:name="方正小标宋简体">
    <w:panose1 w:val="00000600000000000000"/>
    <w:charset w:val="86"/>
    <w:family w:val="script"/>
    <w:pitch w:val="default"/>
    <w:sig w:usb0="800002BF" w:usb1="184F6CF8" w:usb2="00000012" w:usb3="00000000" w:csb0="00160001" w:csb1="12030000"/>
  </w:font>
  <w:font w:name="ºÚÌå">
    <w:altName w:val="Arial"/>
    <w:panose1 w:val="00000000000000000000"/>
    <w:charset w:val="00"/>
    <w:family w:val="moder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ustomXmlInsRangeStart w:id="0" w:author="THU" w:date="2017-05-13T21:17:00Z"/>
  <w:sdt>
    <w:sdtPr>
      <w:rPr/>
      <w:id w:val="1132680932"/>
    </w:sdtPr>
    <w:sdtEndPr>
      <w:rPr/>
    </w:sdtEndPr>
    <w:sdtContent>
      <w:customXmlInsRangeEnd w:id="0"/>
      <w:p>
        <w:pPr>
          <w:pStyle w:val="13"/>
          <w:jc w:val="center"/>
          <w:rPr>
            <w:ins w:id="2" w:author="THU" w:date="2017-05-13T21:17:00Z"/>
          </w:rPr>
        </w:pPr>
        <w:ins w:id="4" w:author="THU" w:date="2017-05-13T21:17:00Z">
          <w:r>
            <w:rPr/>
            <w:fldChar w:fldCharType="begin"/>
          </w:r>
        </w:ins>
        <w:ins w:id="5" w:author="THU" w:date="2017-05-13T21:17:00Z">
          <w:r>
            <w:rPr/>
            <w:instrText xml:space="preserve">PAGE   \* MERGEFORMAT</w:instrText>
          </w:r>
        </w:ins>
        <w:ins w:id="6" w:author="THU" w:date="2017-05-13T21:17:00Z">
          <w:r>
            <w:rPr/>
            <w:fldChar w:fldCharType="separate"/>
          </w:r>
        </w:ins>
        <w:r>
          <w:rPr>
            <w:lang w:val="zh-CN"/>
          </w:rPr>
          <w:t>-</w:t>
        </w:r>
        <w:r>
          <w:t xml:space="preserve"> 29 -</w:t>
        </w:r>
        <w:ins w:id="7" w:author="THU" w:date="2017-05-13T21:17:00Z">
          <w:r>
            <w:rPr/>
            <w:fldChar w:fldCharType="end"/>
          </w:r>
        </w:ins>
      </w:p>
      <w:customXmlInsRangeStart w:id="9" w:author="THU" w:date="2017-05-13T21:17:00Z"/>
    </w:sdtContent>
  </w:sdt>
  <w:customXmlInsRangeEnd w:id="9"/>
  <w:p>
    <w:pPr>
      <w:pStyle w:val="1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HU">
    <w15:presenceInfo w15:providerId="None" w15:userId="T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9"/>
    <w:rsid w:val="0010152B"/>
    <w:rsid w:val="001040F3"/>
    <w:rsid w:val="00107176"/>
    <w:rsid w:val="00107337"/>
    <w:rsid w:val="001073B8"/>
    <w:rsid w:val="00107532"/>
    <w:rsid w:val="00107F92"/>
    <w:rsid w:val="001112B5"/>
    <w:rsid w:val="001119FB"/>
    <w:rsid w:val="00113C6B"/>
    <w:rsid w:val="001147F3"/>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01C"/>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47F4"/>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0679"/>
    <w:rsid w:val="002A35AC"/>
    <w:rsid w:val="002A6CBD"/>
    <w:rsid w:val="002A79BC"/>
    <w:rsid w:val="002C0048"/>
    <w:rsid w:val="002C17E5"/>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705"/>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2D7A"/>
    <w:rsid w:val="0036517E"/>
    <w:rsid w:val="00365B6D"/>
    <w:rsid w:val="00366172"/>
    <w:rsid w:val="0036769E"/>
    <w:rsid w:val="00367ADB"/>
    <w:rsid w:val="00373C75"/>
    <w:rsid w:val="00376FAB"/>
    <w:rsid w:val="0037763C"/>
    <w:rsid w:val="00377F67"/>
    <w:rsid w:val="00381C42"/>
    <w:rsid w:val="00387213"/>
    <w:rsid w:val="00387D20"/>
    <w:rsid w:val="00390D3D"/>
    <w:rsid w:val="00391CDC"/>
    <w:rsid w:val="00392D88"/>
    <w:rsid w:val="0039330B"/>
    <w:rsid w:val="00394BF6"/>
    <w:rsid w:val="003968EA"/>
    <w:rsid w:val="003979AA"/>
    <w:rsid w:val="003A108E"/>
    <w:rsid w:val="003A1BC1"/>
    <w:rsid w:val="003A30A2"/>
    <w:rsid w:val="003A363C"/>
    <w:rsid w:val="003A4EDD"/>
    <w:rsid w:val="003A6E6B"/>
    <w:rsid w:val="003B1481"/>
    <w:rsid w:val="003C039B"/>
    <w:rsid w:val="003C2A42"/>
    <w:rsid w:val="003C44F0"/>
    <w:rsid w:val="003C7F9A"/>
    <w:rsid w:val="003D708B"/>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4579"/>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5FA4"/>
    <w:rsid w:val="004A60DD"/>
    <w:rsid w:val="004B0CEC"/>
    <w:rsid w:val="004B17E1"/>
    <w:rsid w:val="004B2DB2"/>
    <w:rsid w:val="004C130A"/>
    <w:rsid w:val="004C1F34"/>
    <w:rsid w:val="004C4077"/>
    <w:rsid w:val="004C689D"/>
    <w:rsid w:val="004C7968"/>
    <w:rsid w:val="004D198C"/>
    <w:rsid w:val="004D4C5E"/>
    <w:rsid w:val="004D617A"/>
    <w:rsid w:val="004D7784"/>
    <w:rsid w:val="004D7E49"/>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5B4D"/>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2E9C"/>
    <w:rsid w:val="0062355B"/>
    <w:rsid w:val="00626296"/>
    <w:rsid w:val="0062679F"/>
    <w:rsid w:val="00630176"/>
    <w:rsid w:val="00630DB7"/>
    <w:rsid w:val="006329A4"/>
    <w:rsid w:val="00632D65"/>
    <w:rsid w:val="00634569"/>
    <w:rsid w:val="006429C6"/>
    <w:rsid w:val="00645E46"/>
    <w:rsid w:val="006509D7"/>
    <w:rsid w:val="00651AD6"/>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23DF"/>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06A"/>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18A"/>
    <w:rsid w:val="00B17AE3"/>
    <w:rsid w:val="00B24420"/>
    <w:rsid w:val="00B2586B"/>
    <w:rsid w:val="00B261C1"/>
    <w:rsid w:val="00B30727"/>
    <w:rsid w:val="00B317FF"/>
    <w:rsid w:val="00B34DC0"/>
    <w:rsid w:val="00B432A7"/>
    <w:rsid w:val="00B5110F"/>
    <w:rsid w:val="00B51EA1"/>
    <w:rsid w:val="00B52EF3"/>
    <w:rsid w:val="00B548A4"/>
    <w:rsid w:val="00B56490"/>
    <w:rsid w:val="00B5652A"/>
    <w:rsid w:val="00B57A29"/>
    <w:rsid w:val="00B62983"/>
    <w:rsid w:val="00B62BAD"/>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7537"/>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1498"/>
    <w:rsid w:val="00CD33FD"/>
    <w:rsid w:val="00CE236C"/>
    <w:rsid w:val="00CE2D86"/>
    <w:rsid w:val="00CE45F6"/>
    <w:rsid w:val="00CE49DF"/>
    <w:rsid w:val="00CE5DF2"/>
    <w:rsid w:val="00CE7206"/>
    <w:rsid w:val="00CF1329"/>
    <w:rsid w:val="00CF21DB"/>
    <w:rsid w:val="00CF23C9"/>
    <w:rsid w:val="00CF2D6F"/>
    <w:rsid w:val="00CF6724"/>
    <w:rsid w:val="00D04220"/>
    <w:rsid w:val="00D1080D"/>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B71E9"/>
    <w:rsid w:val="00DC0411"/>
    <w:rsid w:val="00DC5CBC"/>
    <w:rsid w:val="00DD11B7"/>
    <w:rsid w:val="00DD29D7"/>
    <w:rsid w:val="00DD510B"/>
    <w:rsid w:val="00DD5B66"/>
    <w:rsid w:val="00DD5FDD"/>
    <w:rsid w:val="00DD6AB1"/>
    <w:rsid w:val="00DD7F82"/>
    <w:rsid w:val="00DE28D9"/>
    <w:rsid w:val="00DE2C29"/>
    <w:rsid w:val="00DE7B5C"/>
    <w:rsid w:val="00DF4258"/>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30CF6"/>
    <w:rsid w:val="00F32A52"/>
    <w:rsid w:val="00F339BC"/>
    <w:rsid w:val="00F34E05"/>
    <w:rsid w:val="00F41A56"/>
    <w:rsid w:val="00F44B74"/>
    <w:rsid w:val="00F463BA"/>
    <w:rsid w:val="00F47256"/>
    <w:rsid w:val="00F547FB"/>
    <w:rsid w:val="00F636DA"/>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0F71523C"/>
    <w:rsid w:val="13197FE1"/>
    <w:rsid w:val="17F301A9"/>
    <w:rsid w:val="1E2B1191"/>
    <w:rsid w:val="22223AE1"/>
    <w:rsid w:val="2CB803FD"/>
    <w:rsid w:val="30A8468E"/>
    <w:rsid w:val="35F44B66"/>
    <w:rsid w:val="44EF55B3"/>
    <w:rsid w:val="4E9F73FB"/>
    <w:rsid w:val="54E86EE4"/>
    <w:rsid w:val="5CF01AC2"/>
    <w:rsid w:val="5D4E5899"/>
    <w:rsid w:val="60895EF6"/>
    <w:rsid w:val="645C6F60"/>
    <w:rsid w:val="69955344"/>
    <w:rsid w:val="70D77E56"/>
    <w:rsid w:val="74590F52"/>
    <w:rsid w:val="7713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29"/>
    <w:semiHidden/>
    <w:qFormat/>
    <w:uiPriority w:val="0"/>
    <w:rPr>
      <w:rFonts w:ascii="宋体"/>
      <w:kern w:val="0"/>
      <w:sz w:val="18"/>
      <w:szCs w:val="18"/>
    </w:rPr>
  </w:style>
  <w:style w:type="paragraph" w:styleId="6">
    <w:name w:val="annotation text"/>
    <w:basedOn w:val="1"/>
    <w:link w:val="50"/>
    <w:qFormat/>
    <w:uiPriority w:val="0"/>
    <w:pPr>
      <w:spacing w:line="460" w:lineRule="exact"/>
      <w:jc w:val="left"/>
    </w:pPr>
    <w:rPr>
      <w:rFonts w:ascii="Calibri" w:hAnsi="Calibri"/>
      <w:szCs w:val="21"/>
    </w:rPr>
  </w:style>
  <w:style w:type="paragraph" w:styleId="7">
    <w:name w:val="Body Text"/>
    <w:basedOn w:val="1"/>
    <w:link w:val="45"/>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32"/>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31"/>
    <w:semiHidden/>
    <w:qFormat/>
    <w:uiPriority w:val="0"/>
    <w:rPr>
      <w:kern w:val="0"/>
      <w:sz w:val="18"/>
      <w:szCs w:val="18"/>
    </w:rPr>
  </w:style>
  <w:style w:type="paragraph" w:styleId="13">
    <w:name w:val="footer"/>
    <w:basedOn w:val="1"/>
    <w:link w:val="28"/>
    <w:qFormat/>
    <w:uiPriority w:val="99"/>
    <w:pPr>
      <w:tabs>
        <w:tab w:val="center" w:pos="4153"/>
        <w:tab w:val="right" w:pos="8306"/>
      </w:tabs>
      <w:snapToGrid w:val="0"/>
      <w:jc w:val="left"/>
    </w:pPr>
    <w:rPr>
      <w:kern w:val="0"/>
      <w:sz w:val="18"/>
      <w:szCs w:val="18"/>
    </w:rPr>
  </w:style>
  <w:style w:type="paragraph" w:styleId="14">
    <w:name w:val="header"/>
    <w:basedOn w:val="1"/>
    <w:link w:val="2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35"/>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0"/>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1"/>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qFormat/>
    <w:uiPriority w:val="0"/>
    <w:rPr>
      <w:rFonts w:cs="Times New Roman"/>
    </w:rPr>
  </w:style>
  <w:style w:type="character" w:styleId="22">
    <w:name w:val="FollowedHyperlink"/>
    <w:qFormat/>
    <w:uiPriority w:val="0"/>
    <w:rPr>
      <w:rFonts w:cs="Times New Roman"/>
      <w:color w:val="800080"/>
      <w:u w:val="single"/>
    </w:rPr>
  </w:style>
  <w:style w:type="character" w:styleId="23">
    <w:name w:val="Hyperlink"/>
    <w:qFormat/>
    <w:uiPriority w:val="0"/>
    <w:rPr>
      <w:rFonts w:cs="Times New Roman"/>
      <w:color w:val="1B227E"/>
      <w:u w:val="none"/>
    </w:rPr>
  </w:style>
  <w:style w:type="character" w:styleId="24">
    <w:name w:val="annotation reference"/>
    <w:semiHidden/>
    <w:qFormat/>
    <w:uiPriority w:val="0"/>
    <w:rPr>
      <w:rFonts w:cs="Times New Roman"/>
      <w:sz w:val="21"/>
      <w:szCs w:val="21"/>
    </w:rPr>
  </w:style>
  <w:style w:type="character" w:styleId="25">
    <w:name w:val="footnote reference"/>
    <w:semiHidden/>
    <w:qFormat/>
    <w:uiPriority w:val="0"/>
    <w:rPr>
      <w:rFonts w:cs="Times New Roman"/>
      <w:vertAlign w:val="superscript"/>
    </w:rPr>
  </w:style>
  <w:style w:type="paragraph" w:customStyle="1" w:styleId="26">
    <w:name w:val="列出段落1"/>
    <w:basedOn w:val="1"/>
    <w:qFormat/>
    <w:uiPriority w:val="0"/>
    <w:pPr>
      <w:ind w:firstLine="420" w:firstLineChars="200"/>
    </w:pPr>
  </w:style>
  <w:style w:type="character" w:customStyle="1" w:styleId="27">
    <w:name w:val="页眉 Char"/>
    <w:link w:val="14"/>
    <w:qFormat/>
    <w:locked/>
    <w:uiPriority w:val="0"/>
    <w:rPr>
      <w:rFonts w:cs="Times New Roman"/>
      <w:sz w:val="18"/>
      <w:szCs w:val="18"/>
    </w:rPr>
  </w:style>
  <w:style w:type="character" w:customStyle="1" w:styleId="28">
    <w:name w:val="页脚 Char"/>
    <w:link w:val="13"/>
    <w:qFormat/>
    <w:locked/>
    <w:uiPriority w:val="99"/>
    <w:rPr>
      <w:rFonts w:cs="Times New Roman"/>
      <w:sz w:val="18"/>
      <w:szCs w:val="18"/>
    </w:rPr>
  </w:style>
  <w:style w:type="character" w:customStyle="1" w:styleId="29">
    <w:name w:val="文档结构图 Char"/>
    <w:link w:val="5"/>
    <w:qFormat/>
    <w:locked/>
    <w:uiPriority w:val="0"/>
    <w:rPr>
      <w:rFonts w:ascii="宋体" w:cs="Times New Roman"/>
      <w:sz w:val="18"/>
      <w:szCs w:val="18"/>
    </w:rPr>
  </w:style>
  <w:style w:type="character" w:customStyle="1" w:styleId="30">
    <w:name w:val="标题 1 Char"/>
    <w:link w:val="2"/>
    <w:qFormat/>
    <w:locked/>
    <w:uiPriority w:val="0"/>
    <w:rPr>
      <w:rFonts w:cs="Times New Roman"/>
      <w:b/>
      <w:bCs/>
      <w:kern w:val="44"/>
      <w:sz w:val="44"/>
      <w:szCs w:val="44"/>
    </w:rPr>
  </w:style>
  <w:style w:type="character" w:customStyle="1" w:styleId="31">
    <w:name w:val="批注框文本 Char"/>
    <w:link w:val="12"/>
    <w:qFormat/>
    <w:locked/>
    <w:uiPriority w:val="0"/>
    <w:rPr>
      <w:rFonts w:cs="Times New Roman"/>
      <w:sz w:val="18"/>
      <w:szCs w:val="18"/>
    </w:rPr>
  </w:style>
  <w:style w:type="character" w:customStyle="1" w:styleId="32">
    <w:name w:val="日期 Char"/>
    <w:link w:val="10"/>
    <w:qFormat/>
    <w:locked/>
    <w:uiPriority w:val="0"/>
    <w:rPr>
      <w:rFonts w:cs="Times New Roman"/>
      <w:sz w:val="24"/>
      <w:szCs w:val="24"/>
    </w:rPr>
  </w:style>
  <w:style w:type="paragraph" w:customStyle="1" w:styleId="33">
    <w:name w:val="修订1"/>
    <w:hidden/>
    <w:qFormat/>
    <w:uiPriority w:val="0"/>
    <w:rPr>
      <w:rFonts w:ascii="Times New Roman" w:hAnsi="Times New Roman" w:eastAsia="宋体" w:cs="Times New Roman"/>
      <w:kern w:val="2"/>
      <w:sz w:val="21"/>
      <w:szCs w:val="24"/>
      <w:lang w:val="en-US" w:eastAsia="zh-CN" w:bidi="ar-SA"/>
    </w:rPr>
  </w:style>
  <w:style w:type="character" w:customStyle="1" w:styleId="34">
    <w:name w:val="标题 2 Char"/>
    <w:link w:val="3"/>
    <w:qFormat/>
    <w:locked/>
    <w:uiPriority w:val="0"/>
    <w:rPr>
      <w:rFonts w:ascii="宋体" w:eastAsia="宋体" w:cs="Times New Roman"/>
      <w:b/>
      <w:bCs/>
      <w:sz w:val="36"/>
      <w:szCs w:val="36"/>
    </w:rPr>
  </w:style>
  <w:style w:type="character" w:customStyle="1" w:styleId="35">
    <w:name w:val="正文文本缩进 3 Char"/>
    <w:link w:val="15"/>
    <w:qFormat/>
    <w:locked/>
    <w:uiPriority w:val="0"/>
    <w:rPr>
      <w:rFonts w:ascii="宋体" w:eastAsia="宋体" w:cs="Times New Roman"/>
      <w:sz w:val="21"/>
      <w:szCs w:val="21"/>
    </w:rPr>
  </w:style>
  <w:style w:type="paragraph" w:customStyle="1" w:styleId="36">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7">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character" w:customStyle="1" w:styleId="38">
    <w:name w:val="正文文本缩进 Char"/>
    <w:link w:val="8"/>
    <w:qFormat/>
    <w:locked/>
    <w:uiPriority w:val="0"/>
    <w:rPr>
      <w:rFonts w:ascii="仿宋_GB2312" w:eastAsia="仿宋_GB2312" w:cs="Times New Roman"/>
      <w:kern w:val="2"/>
      <w:sz w:val="32"/>
    </w:rPr>
  </w:style>
  <w:style w:type="paragraph" w:customStyle="1" w:styleId="39">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40">
    <w:name w:val="主题词"/>
    <w:basedOn w:val="1"/>
    <w:qFormat/>
    <w:uiPriority w:val="0"/>
    <w:pPr>
      <w:adjustRightInd w:val="0"/>
      <w:spacing w:line="440" w:lineRule="atLeast"/>
      <w:jc w:val="left"/>
      <w:textAlignment w:val="bottom"/>
    </w:pPr>
    <w:rPr>
      <w:rFonts w:eastAsia="黑体"/>
      <w:kern w:val="0"/>
      <w:sz w:val="28"/>
      <w:szCs w:val="20"/>
    </w:rPr>
  </w:style>
  <w:style w:type="paragraph" w:customStyle="1" w:styleId="41">
    <w:name w:val="函号"/>
    <w:basedOn w:val="1"/>
    <w:qFormat/>
    <w:uiPriority w:val="0"/>
    <w:pPr>
      <w:adjustRightInd w:val="0"/>
      <w:spacing w:line="440" w:lineRule="atLeast"/>
      <w:jc w:val="right"/>
      <w:textAlignment w:val="bottom"/>
    </w:pPr>
    <w:rPr>
      <w:rFonts w:eastAsia="仿宋_GB2312"/>
      <w:kern w:val="0"/>
      <w:sz w:val="28"/>
      <w:szCs w:val="20"/>
    </w:rPr>
  </w:style>
  <w:style w:type="character" w:customStyle="1" w:styleId="42">
    <w:name w:val="正文文本缩进 2 Char"/>
    <w:link w:val="11"/>
    <w:qFormat/>
    <w:locked/>
    <w:uiPriority w:val="0"/>
    <w:rPr>
      <w:rFonts w:ascii="仿宋_GB2312" w:eastAsia="仿宋_GB2312" w:cs="Times New Roman"/>
      <w:sz w:val="28"/>
    </w:rPr>
  </w:style>
  <w:style w:type="paragraph" w:customStyle="1" w:styleId="43">
    <w:name w:val="文号"/>
    <w:basedOn w:val="1"/>
    <w:qFormat/>
    <w:uiPriority w:val="0"/>
    <w:pPr>
      <w:adjustRightInd w:val="0"/>
      <w:spacing w:before="2550" w:line="360" w:lineRule="atLeast"/>
      <w:jc w:val="center"/>
      <w:textAlignment w:val="baseline"/>
    </w:pPr>
    <w:rPr>
      <w:rFonts w:eastAsia="仿宋_GB2312"/>
      <w:kern w:val="0"/>
      <w:sz w:val="28"/>
      <w:szCs w:val="20"/>
    </w:rPr>
  </w:style>
  <w:style w:type="character" w:customStyle="1" w:styleId="44">
    <w:name w:val="纯文本 Char"/>
    <w:link w:val="9"/>
    <w:qFormat/>
    <w:locked/>
    <w:uiPriority w:val="0"/>
    <w:rPr>
      <w:rFonts w:ascii="宋体" w:hAnsi="Courier New" w:cs="Times New Roman"/>
      <w:kern w:val="2"/>
      <w:sz w:val="21"/>
    </w:rPr>
  </w:style>
  <w:style w:type="character" w:customStyle="1" w:styleId="45">
    <w:name w:val="正文文本 Char"/>
    <w:link w:val="7"/>
    <w:qFormat/>
    <w:locked/>
    <w:uiPriority w:val="0"/>
    <w:rPr>
      <w:rFonts w:eastAsia="仿宋_GB2312" w:cs="Times New Roman"/>
      <w:kern w:val="2"/>
      <w:sz w:val="28"/>
    </w:rPr>
  </w:style>
  <w:style w:type="character" w:customStyle="1" w:styleId="46">
    <w:name w:val="unnamed2"/>
    <w:qFormat/>
    <w:uiPriority w:val="0"/>
    <w:rPr>
      <w:rFonts w:cs="Times New Roman"/>
    </w:rPr>
  </w:style>
  <w:style w:type="character" w:customStyle="1" w:styleId="47">
    <w:name w:val="high-light-bg4"/>
    <w:qFormat/>
    <w:uiPriority w:val="0"/>
    <w:rPr>
      <w:rFonts w:cs="Times New Roman"/>
    </w:rPr>
  </w:style>
  <w:style w:type="paragraph" w:customStyle="1" w:styleId="4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character" w:customStyle="1" w:styleId="49">
    <w:name w:val="edited2"/>
    <w:qFormat/>
    <w:uiPriority w:val="0"/>
    <w:rPr>
      <w:rFonts w:cs="Times New Roman"/>
    </w:rPr>
  </w:style>
  <w:style w:type="character" w:customStyle="1" w:styleId="50">
    <w:name w:val="批注文字 Char"/>
    <w:link w:val="6"/>
    <w:qFormat/>
    <w:locked/>
    <w:uiPriority w:val="0"/>
    <w:rPr>
      <w:rFonts w:ascii="Calibri" w:hAnsi="Calibri" w:cs="Calibri"/>
      <w:kern w:val="2"/>
      <w:sz w:val="21"/>
      <w:szCs w:val="21"/>
    </w:rPr>
  </w:style>
  <w:style w:type="character" w:customStyle="1" w:styleId="51">
    <w:name w:val="批注主题 Char"/>
    <w:link w:val="17"/>
    <w:semiHidden/>
    <w:qFormat/>
    <w:locked/>
    <w:uiPriority w:val="0"/>
    <w:rPr>
      <w:rFonts w:ascii="Calibri" w:hAnsi="Calibri" w:cs="Calibri"/>
      <w:b/>
      <w:bCs/>
      <w:kern w:val="2"/>
      <w:sz w:val="21"/>
      <w:szCs w:val="21"/>
    </w:rPr>
  </w:style>
  <w:style w:type="paragraph" w:customStyle="1" w:styleId="52">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50CAF5-EFE1-49B3-9F44-DC582C2BE917}">
  <ds:schemaRefs/>
</ds:datastoreItem>
</file>

<file path=docProps/app.xml><?xml version="1.0" encoding="utf-8"?>
<Properties xmlns="http://schemas.openxmlformats.org/officeDocument/2006/extended-properties" xmlns:vt="http://schemas.openxmlformats.org/officeDocument/2006/docPropsVTypes">
  <Template>Normal</Template>
  <Company>sdu</Company>
  <Pages>29</Pages>
  <Words>3255</Words>
  <Characters>18560</Characters>
  <Lines>154</Lines>
  <Paragraphs>43</Paragraphs>
  <TotalTime>94</TotalTime>
  <ScaleCrop>false</ScaleCrop>
  <LinksUpToDate>false</LinksUpToDate>
  <CharactersWithSpaces>21772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2017-06-08T09:55:00Z</dcterms:created>
  <dc:creator>LIU</dc:creator>
  <cp:lastModifiedBy>日玖月故</cp:lastModifiedBy>
  <cp:lastPrinted>2020-08-28T04:01:00Z</cp:lastPrinted>
  <dcterms:modified xsi:type="dcterms:W3CDTF">2022-03-17T02:45:00Z</dcterms:modified>
  <dc:title>*</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095832F4D9284FA4AE1BF23DDCA6FF61</vt:lpwstr>
  </property>
</Properties>
</file>